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1728"/>
        <w:gridCol w:w="6624"/>
        <w:gridCol w:w="1728"/>
      </w:tblGrid>
      <w:tr>
        <w:trPr>
          <w:tblHeader w:val="true"/>
        </w:trPr>
        <w:tc>
          <w:tcPr>
            <w:tcW w:type="dxa" w:w="3360"/>
            <w:shd w:fill="1F4E79"/>
            <w:tcMar>
              <w:top w:w="75" w:type="dxa"/>
              <w:start w:w="90" w:type="dxa"/>
              <w:bottom w:w="75" w:type="dxa"/>
              <w:end w:w="90" w:type="dxa"/>
            </w:tcMar>
          </w:tcPr>
          <w:p>
            <w:r>
              <w:rPr>
                <w:rFonts w:ascii="Aptos" w:hAnsi="Aptos"/>
                <w:b/>
                <w:color w:val="FFFFFF"/>
                <w:sz w:val="16"/>
              </w:rPr>
            </w:r>
          </w:p>
        </w:tc>
        <w:tc>
          <w:tcPr>
            <w:tcW w:type="dxa" w:w="3360"/>
            <w:shd w:fill="1F4E79"/>
            <w:tcMar>
              <w:top w:w="75" w:type="dxa"/>
              <w:start w:w="90" w:type="dxa"/>
              <w:bottom w:w="75" w:type="dxa"/>
              <w:end w:w="90" w:type="dxa"/>
            </w:tcMar>
          </w:tcPr>
          <w:p>
            <w:r>
              <w:rPr>
                <w:rFonts w:ascii="Aptos" w:hAnsi="Aptos"/>
                <w:b/>
                <w:color w:val="FFFFFF"/>
                <w:sz w:val="16"/>
              </w:rPr>
            </w:r>
          </w:p>
        </w:tc>
        <w:tc>
          <w:tcPr>
            <w:tcW w:type="dxa" w:w="3360"/>
            <w:shd w:fill="1F4E79"/>
            <w:tcMar>
              <w:top w:w="75" w:type="dxa"/>
              <w:start w:w="90" w:type="dxa"/>
              <w:bottom w:w="75" w:type="dxa"/>
              <w:end w:w="90" w:type="dxa"/>
            </w:tcMar>
          </w:tcPr>
          <w:p>
            <w:r>
              <w:rPr>
                <w:rFonts w:ascii="Aptos" w:hAnsi="Aptos"/>
                <w:b/>
                <w:color w:val="FFFFFF"/>
                <w:sz w:val="16"/>
              </w:rPr>
            </w:r>
          </w:p>
        </w:tc>
      </w:tr>
    </w:tbl>
    <w:p>
      <w:pPr>
        <w:widowControl/>
      </w:pPr>
    </w:p>
    <w:p>
      <w:pPr>
        <w:spacing w:before="560" w:after="400"/>
        <w:jc w:val="center"/>
        <w:widowControl/>
      </w:pPr>
      <w:r>
        <w:drawing>
          <wp:inline xmlns:a="http://schemas.openxmlformats.org/drawingml/2006/main" xmlns:pic="http://schemas.openxmlformats.org/drawingml/2006/picture">
            <wp:extent cx="1965960" cy="1965960"/>
            <wp:docPr id="1" name="Picture 1"/>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1965960" cy="1965960"/>
                    </a:xfrm>
                    <a:prstGeom prst="rect"/>
                  </pic:spPr>
                </pic:pic>
              </a:graphicData>
            </a:graphic>
          </wp:inline>
        </w:drawing>
      </w:r>
    </w:p>
    <w:p>
      <w:pPr>
        <w:widowControl/>
      </w:pPr>
    </w:p>
    <w:p>
      <w:pPr>
        <w:spacing w:after="100"/>
        <w:jc w:val="both"/>
        <w:widowControl/>
      </w:pPr>
      <w:r>
        <w:rPr>
          <w:rFonts w:ascii="Aptos Display" w:hAnsi="Aptos Display"/>
          <w:b/>
          <w:color w:val="17365D"/>
          <w:sz w:val="48"/>
        </w:rPr>
        <w:t>REGLAMENTO INTERNO</w:t>
      </w:r>
    </w:p>
    <w:p>
      <w:pPr>
        <w:widowControl/>
      </w:pPr>
    </w:p>
    <w:p>
      <w:pPr>
        <w:spacing w:after="160"/>
        <w:jc w:val="both"/>
        <w:widowControl/>
      </w:pPr>
      <w:r>
        <w:rPr>
          <w:rFonts w:ascii="Aptos" w:hAnsi="Aptos"/>
          <w:b/>
          <w:color w:val="1F4E79"/>
          <w:sz w:val="26"/>
        </w:rPr>
        <w:t>DE GOBIERNO, ADMINISTRACIÓN Y PROCEDIMIENTOS</w:t>
      </w:r>
    </w:p>
    <w:p>
      <w:pPr>
        <w:widowControl/>
      </w:pPr>
    </w:p>
    <w:p>
      <w:pPr>
        <w:jc w:val="both"/>
        <w:widowControl/>
      </w:pPr>
      <w:r>
        <w:rPr>
          <w:rFonts w:ascii="Aptos" w:hAnsi="Aptos"/>
          <w:b/>
          <w:color w:val="5B6573"/>
          <w:sz w:val="21"/>
        </w:rPr>
        <w:t>ASOCIACIÓN DE PADRES DE FAMILIA DEL LICEO FRANCÉS DE PEREIRA</w:t>
      </w:r>
    </w:p>
    <w:p>
      <w:pPr>
        <w:widowControl/>
      </w:pPr>
    </w:p>
    <w:p>
      <w:pPr>
        <w:jc w:val="both"/>
        <w:widowControl/>
      </w:pPr>
      <w:r>
        <w:rPr>
          <w:color w:val="5B6573"/>
          <w:sz w:val="18"/>
        </w:rPr>
        <w:t>NIT 800.119.725-6</w:t>
      </w:r>
    </w:p>
    <w:tbl>
      <w:tblPr>
        <w:tblW w:type="auto" w:w="0"/>
        <w:jc w:val="center"/>
        <w:tblLayout w:type="autofit"/>
        <w:tblLook w:firstColumn="1" w:firstRow="1" w:lastColumn="0" w:lastRow="0" w:noHBand="0" w:noVBand="1" w:val="04A0"/>
      </w:tblPr>
      <w:tblGrid>
        <w:gridCol w:w="3024"/>
        <w:gridCol w:w="6480"/>
      </w:tblGrid>
      <w:tr>
        <w:trPr>
          <w:tblHeader w:val="true"/>
        </w:trPr>
        <w:tc>
          <w:tcPr>
            <w:tcW w:type="dxa" w:w="5040"/>
            <w:shd w:fill="1F4E79"/>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b/>
                <w:color w:val="FFFFFF"/>
                <w:sz w:val="16"/>
              </w:rPr>
              <w:t>Documento</w:t>
            </w:r>
          </w:p>
        </w:tc>
        <w:tc>
          <w:tcPr>
            <w:tcW w:type="dxa" w:w="5040"/>
            <w:shd w:fill="1F4E79"/>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b/>
                <w:color w:val="FFFFFF"/>
                <w:sz w:val="16"/>
              </w:rPr>
              <w:t>Reglamento Interno de Gobierno, Administración y Procedimientos</w:t>
            </w:r>
          </w:p>
        </w:tc>
      </w:tr>
      <w:tr>
        <w:tc>
          <w:tcPr>
            <w:tcW w:type="dxa" w:w="5040"/>
            <w:shd w:fill="D9EAF7"/>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b/>
                <w:color w:val="17365D"/>
                <w:sz w:val="16"/>
              </w:rPr>
              <w:t>Código</w:t>
            </w:r>
          </w:p>
        </w:tc>
        <w:tc>
          <w:tcPr>
            <w:tcW w:type="dxa" w:w="5040"/>
            <w:shd w:fill="FFFFFF"/>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sz w:val="16"/>
              </w:rPr>
              <w:t>ASO-RGL-001</w:t>
            </w:r>
          </w:p>
        </w:tc>
      </w:tr>
      <w:tr>
        <w:tc>
          <w:tcPr>
            <w:tcW w:type="dxa" w:w="5040"/>
            <w:shd w:fill="F4F7FA"/>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b/>
                <w:color w:val="17365D"/>
                <w:sz w:val="16"/>
              </w:rPr>
              <w:t>Versión</w:t>
            </w:r>
          </w:p>
        </w:tc>
        <w:tc>
          <w:tcPr>
            <w:tcW w:type="dxa" w:w="5040"/>
            <w:shd w:fill="F4F7FA"/>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sz w:val="16"/>
              </w:rPr>
              <w:t>1.0</w:t>
            </w:r>
          </w:p>
        </w:tc>
      </w:tr>
      <w:tr>
        <w:tc>
          <w:tcPr>
            <w:tcW w:type="dxa" w:w="5040"/>
            <w:shd w:fill="D9EAF7"/>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b/>
                <w:color w:val="17365D"/>
                <w:sz w:val="16"/>
              </w:rPr>
              <w:t>Estado</w:t>
            </w:r>
          </w:p>
        </w:tc>
        <w:tc>
          <w:tcPr>
            <w:tcW w:type="dxa" w:w="5040"/>
            <w:shd w:fill="FFFFFF"/>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sz w:val="16"/>
              </w:rPr>
              <w:t>Proyecto para aprobación</w:t>
            </w:r>
          </w:p>
        </w:tc>
      </w:tr>
      <w:tr>
        <w:tc>
          <w:tcPr>
            <w:tcW w:type="dxa" w:w="5040"/>
            <w:shd w:fill="F4F7FA"/>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b/>
                <w:color w:val="17365D"/>
                <w:sz w:val="16"/>
              </w:rPr>
              <w:t>Órgano competente</w:t>
            </w:r>
          </w:p>
        </w:tc>
        <w:tc>
          <w:tcPr>
            <w:tcW w:type="dxa" w:w="5040"/>
            <w:shd w:fill="F4F7FA"/>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sz w:val="16"/>
              </w:rPr>
              <w:t>Junta Directiva, conforme a los estatutos vigentes</w:t>
            </w:r>
          </w:p>
        </w:tc>
      </w:tr>
      <w:tr>
        <w:tc>
          <w:tcPr>
            <w:tcW w:type="dxa" w:w="5040"/>
            <w:shd w:fill="D9EAF7"/>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b/>
                <w:color w:val="17365D"/>
                <w:sz w:val="16"/>
              </w:rPr>
              <w:t>Fecha de aprobación</w:t>
            </w:r>
          </w:p>
        </w:tc>
        <w:tc>
          <w:tcPr>
            <w:tcW w:type="dxa" w:w="5040"/>
            <w:shd w:fill="FFFFFF"/>
            <w:tcMar>
              <w:top w:w="75" w:type="dxa"/>
              <w:start w:w="90" w:type="dxa"/>
              <w:bottom w:w="75" w:type="dxa"/>
              <w:end w:w="90" w:type="dxa"/>
            </w:tcMar>
            <w:vAlign w:val="center"/>
            <w:tcBorders>
              <w:top w:val="single" w:sz="4" w:color="B7C9DD"/>
              <w:left w:val="single" w:sz="4" w:color="B7C9DD"/>
              <w:bottom w:val="single" w:sz="4" w:color="B7C9DD"/>
              <w:right w:val="single" w:sz="4" w:color="B7C9DD"/>
            </w:tcBorders>
          </w:tcPr>
          <w:p>
            <w:r>
              <w:rPr>
                <w:rFonts w:ascii="Aptos" w:hAnsi="Aptos"/>
                <w:sz w:val="16"/>
              </w:rPr>
              <w:t>Acta No. ____ del ____ de __________ de 2026</w:t>
            </w:r>
          </w:p>
        </w:tc>
      </w:tr>
    </w:tbl>
    <w:p>
      <w:pPr>
        <w:widowControl/>
      </w:pPr>
    </w:p>
    <w:p>
      <w:pPr>
        <w:pStyle w:val="SmallNote"/>
        <w:spacing w:before="200"/>
        <w:jc w:val="center"/>
        <w:widowControl/>
      </w:pPr>
      <w:r>
        <w:t>Documento sujeto a aprobación y formalización mediante acta de la Junta Directiva.</w:t>
      </w:r>
    </w:p>
    <w:p>
      <w:pPr>
        <w:pStyle w:val="Heading1"/>
        <w:pageBreakBefore/>
        <w:widowControl/>
        <w:spacing w:before="200" w:after="160"/>
        <w:jc w:val="center"/>
        <w:pBdr>
          <w:bottom w:val="single" w:sz="10" w:space="3" w:color="1F4E79"/>
        </w:pBdr>
      </w:pPr>
      <w:r>
        <w:t>ACUERDO DE ADOPCIÓN</w:t>
      </w:r>
    </w:p>
    <w:p>
      <w:pPr>
        <w:pStyle w:val="LegalPreamble"/>
        <w:widowControl/>
        <w:jc w:val="both"/>
      </w:pPr>
      <w:r>
        <w:t>La Junta Directiva de la Asociación de Padres de Familia del Liceo Francés de Pereira - ASOPADRES, en ejercicio de las facultades conferidas por los artículos 21 y 28 de los estatutos vigentes.</w:t>
      </w:r>
    </w:p>
    <w:p>
      <w:pPr>
        <w:pStyle w:val="Heading1"/>
        <w:widowControl/>
        <w:spacing w:before="200" w:after="160"/>
        <w:jc w:val="center"/>
        <w:pBdr>
          <w:bottom w:val="single" w:sz="10" w:space="3" w:color="1F4E79"/>
        </w:pBdr>
      </w:pPr>
      <w:r>
        <w:t>CONSIDERANDO:</w:t>
      </w:r>
    </w:p>
    <w:p>
      <w:pPr>
        <w:pStyle w:val="LegalPreamble"/>
        <w:widowControl/>
        <w:ind w:left="317" w:hanging="317"/>
        <w:jc w:val="both"/>
      </w:pPr>
      <w:r>
        <w:rPr>
          <w:b/>
          <w:color w:val="164478"/>
        </w:rPr>
        <w:t xml:space="preserve">1. </w:t>
      </w:r>
      <w:r>
        <w:t>Que ASOPADRES es una entidad privada sin ánimo de lucro, constituida por decisión libre y voluntaria de los padres de familia y acudientes, con personería jurídica, patrimonio propio y autonomía administrativa.</w:t>
      </w:r>
    </w:p>
    <w:p>
      <w:pPr>
        <w:pStyle w:val="LegalPreamble"/>
        <w:widowControl/>
        <w:ind w:left="317" w:hanging="317"/>
        <w:jc w:val="both"/>
      </w:pPr>
      <w:r>
        <w:rPr>
          <w:b/>
          <w:color w:val="164478"/>
        </w:rPr>
        <w:t xml:space="preserve">2. </w:t>
      </w:r>
      <w:r>
        <w:t>Que su objeto estatutario consiste en apoyar la ejecución del Proyecto Educativo Institucional y el plan de mejoramiento del establecimiento educativo, sin asumir competencias propias del colegio ni de sus órganos de gobierno.</w:t>
      </w:r>
    </w:p>
    <w:p>
      <w:pPr>
        <w:pStyle w:val="LegalPreamble"/>
        <w:widowControl/>
        <w:ind w:left="317" w:hanging="317"/>
        <w:jc w:val="both"/>
      </w:pPr>
      <w:r>
        <w:rPr>
          <w:b/>
          <w:color w:val="164478"/>
        </w:rPr>
        <w:t xml:space="preserve">3. </w:t>
      </w:r>
      <w:r>
        <w:t>Que el Decreto 1075 de 2015 regula la naturaleza, las finalidades, el manejo patrimonial, las prohibiciones y las relaciones de las asociaciones de padres de familia con los establecimientos educativos.</w:t>
      </w:r>
    </w:p>
    <w:p>
      <w:pPr>
        <w:pStyle w:val="LegalPreamble"/>
        <w:widowControl/>
        <w:ind w:left="317" w:hanging="317"/>
        <w:jc w:val="both"/>
      </w:pPr>
      <w:r>
        <w:rPr>
          <w:b/>
          <w:color w:val="164478"/>
        </w:rPr>
        <w:t xml:space="preserve">4. </w:t>
      </w:r>
      <w:r>
        <w:t>Que es necesario contar con reglas internas claras para la toma de decisiones, la gestión financiera, la contratación, la ejecución de proyectos, la administración documental, el manejo de la información y la rendición de cuentas.</w:t>
      </w:r>
    </w:p>
    <w:p>
      <w:pPr>
        <w:pStyle w:val="LegalPreamble"/>
        <w:widowControl/>
        <w:ind w:left="317" w:hanging="317"/>
        <w:jc w:val="both"/>
      </w:pPr>
      <w:r>
        <w:rPr>
          <w:b/>
          <w:color w:val="164478"/>
        </w:rPr>
        <w:t xml:space="preserve">5. </w:t>
      </w:r>
      <w:r>
        <w:t>Que este reglamento desarrolla los estatutos vigentes y no los modifica ni sustituye.</w:t>
      </w:r>
    </w:p>
    <w:p>
      <w:pPr>
        <w:pStyle w:val="Heading1"/>
        <w:widowControl/>
        <w:spacing w:before="200" w:after="160"/>
        <w:jc w:val="center"/>
        <w:pBdr>
          <w:bottom w:val="single" w:sz="10" w:space="3" w:color="1F4E79"/>
        </w:pBdr>
      </w:pPr>
      <w:r>
        <w:t>ACUERDA:</w:t>
      </w:r>
    </w:p>
    <w:p>
      <w:pPr>
        <w:pStyle w:val="LegalPreamble"/>
        <w:widowControl/>
        <w:jc w:val="both"/>
      </w:pPr>
      <w:r>
        <w:t>Adoptar el siguiente Reglamento Interno de Gobierno, Administración y Procedimientos de la Asociación de Padres de Familia del Liceo Francés de Pereira:</w:t>
      </w:r>
    </w:p>
    <w:p>
      <w:pPr>
        <w:pStyle w:val="Heading1"/>
        <w:widowControl/>
        <w:spacing w:before="200" w:after="160"/>
        <w:jc w:val="center"/>
        <w:pBdr>
          <w:bottom w:val="single" w:sz="10" w:space="3" w:color="1F4E79"/>
        </w:pBdr>
      </w:pPr>
      <w:r>
        <w:t>ÍNDICE GENERAL</w:t>
      </w:r>
    </w:p>
    <w:tbl>
      <w:tblPr>
        <w:tblW w:type="auto" w:w="0"/>
        <w:jc w:val="center"/>
        <w:tblLayout w:type="autofit"/>
        <w:tblLook w:firstColumn="1" w:firstRow="1" w:lastColumn="0" w:lastRow="0" w:noHBand="0" w:noVBand="1" w:val="04A0"/>
      </w:tblPr>
      <w:tblGrid>
        <w:gridCol w:w="4608"/>
        <w:gridCol w:w="4608"/>
      </w:tblGrid>
      <w:tr>
        <w:trPr>
          <w:tblHeader w:val="true"/>
        </w:trPr>
        <w:tc>
          <w:tcPr>
            <w:tcW w:type="dxa" w:w="4824"/>
            <w:tcMar>
              <w:top w:w="75" w:type="dxa"/>
              <w:start w:w="90" w:type="dxa"/>
              <w:bottom w:w="75" w:type="dxa"/>
              <w:end w:w="90" w:type="dxa"/>
            </w:tcMar>
            <w:shd w:fill="1F4E79"/>
          </w:tcPr>
          <w:p>
            <w:pPr>
              <w:spacing w:after="0"/>
              <w:jc w:val="left"/>
            </w:pPr>
            <w:r>
              <w:rPr>
                <w:rFonts w:ascii="Aptos" w:hAnsi="Aptos"/>
                <w:b/>
                <w:color w:val="FFFFFF"/>
                <w:sz w:val="16"/>
              </w:rPr>
              <w:t>Capítulo I. Disposiciones Generales</w:t>
            </w:r>
          </w:p>
        </w:tc>
        <w:tc>
          <w:tcPr>
            <w:tcW w:type="dxa" w:w="4824"/>
            <w:tcMar>
              <w:top w:w="75" w:type="dxa"/>
              <w:start w:w="90" w:type="dxa"/>
              <w:bottom w:w="75" w:type="dxa"/>
              <w:end w:w="90" w:type="dxa"/>
            </w:tcMar>
            <w:shd w:fill="1F4E79"/>
          </w:tcPr>
          <w:p>
            <w:pPr>
              <w:spacing w:after="0"/>
              <w:jc w:val="left"/>
            </w:pPr>
            <w:r>
              <w:rPr>
                <w:rFonts w:ascii="Aptos" w:hAnsi="Aptos"/>
                <w:b/>
                <w:color w:val="FFFFFF"/>
                <w:sz w:val="16"/>
              </w:rPr>
              <w:t>Capítulo Xiv. Gestión De Proyectos</w:t>
            </w:r>
          </w:p>
        </w:tc>
      </w:tr>
      <w:tr>
        <w:tc>
          <w:tcPr>
            <w:tcW w:type="dxa" w:w="4824"/>
            <w:tcMar>
              <w:top w:w="75" w:type="dxa"/>
              <w:start w:w="90" w:type="dxa"/>
              <w:bottom w:w="75" w:type="dxa"/>
              <w:end w:w="90" w:type="dxa"/>
            </w:tcMar>
          </w:tcPr>
          <w:p>
            <w:pPr>
              <w:spacing w:after="0"/>
              <w:jc w:val="left"/>
            </w:pPr>
            <w:r>
              <w:rPr>
                <w:rFonts w:ascii="Aptos" w:hAnsi="Aptos"/>
                <w:color w:val="282828"/>
                <w:sz w:val="16"/>
              </w:rPr>
              <w:t>Capítulo Ii. Naturaleza, Autonomía, Objeto Y Límites</w:t>
            </w:r>
          </w:p>
        </w:tc>
        <w:tc>
          <w:tcPr>
            <w:tcW w:type="dxa" w:w="4824"/>
            <w:tcMar>
              <w:top w:w="75" w:type="dxa"/>
              <w:start w:w="90" w:type="dxa"/>
              <w:bottom w:w="75" w:type="dxa"/>
              <w:end w:w="90" w:type="dxa"/>
            </w:tcMar>
            <w:shd w:fill="F3F6F9"/>
          </w:tcPr>
          <w:p>
            <w:pPr>
              <w:spacing w:after="0"/>
              <w:jc w:val="left"/>
            </w:pPr>
            <w:r>
              <w:rPr>
                <w:rFonts w:ascii="Aptos" w:hAnsi="Aptos"/>
                <w:color w:val="282828"/>
                <w:sz w:val="16"/>
              </w:rPr>
              <w:t>Capítulo Xv. Inventarios Y Entrega De Bienes</w:t>
            </w:r>
          </w:p>
        </w:tc>
      </w:tr>
      <w:tr>
        <w:tc>
          <w:tcPr>
            <w:tcW w:type="dxa" w:w="4824"/>
            <w:tcMar>
              <w:top w:w="75" w:type="dxa"/>
              <w:start w:w="90" w:type="dxa"/>
              <w:bottom w:w="75" w:type="dxa"/>
              <w:end w:w="90" w:type="dxa"/>
            </w:tcMar>
            <w:shd w:fill="F4F7FA"/>
          </w:tcPr>
          <w:p>
            <w:pPr>
              <w:spacing w:after="0"/>
              <w:jc w:val="left"/>
            </w:pPr>
            <w:r>
              <w:rPr>
                <w:rFonts w:ascii="Aptos" w:hAnsi="Aptos"/>
                <w:color w:val="282828"/>
                <w:sz w:val="16"/>
              </w:rPr>
              <w:t>Capítulo Iii. Principios De Actuación</w:t>
            </w:r>
          </w:p>
        </w:tc>
        <w:tc>
          <w:tcPr>
            <w:tcW w:type="dxa" w:w="4824"/>
            <w:tcMar>
              <w:top w:w="75" w:type="dxa"/>
              <w:start w:w="90" w:type="dxa"/>
              <w:bottom w:w="75" w:type="dxa"/>
              <w:end w:w="90" w:type="dxa"/>
            </w:tcMar>
            <w:shd w:fill="F4F7FA"/>
          </w:tcPr>
          <w:p>
            <w:pPr>
              <w:spacing w:after="0"/>
              <w:jc w:val="left"/>
            </w:pPr>
            <w:r>
              <w:rPr>
                <w:rFonts w:ascii="Aptos" w:hAnsi="Aptos"/>
                <w:color w:val="282828"/>
                <w:sz w:val="16"/>
              </w:rPr>
              <w:t>Capítulo Xvi. Comunicaciones Y Vocería</w:t>
            </w:r>
          </w:p>
        </w:tc>
      </w:tr>
      <w:tr>
        <w:tc>
          <w:tcPr>
            <w:tcW w:type="dxa" w:w="4824"/>
            <w:tcMar>
              <w:top w:w="75" w:type="dxa"/>
              <w:start w:w="90" w:type="dxa"/>
              <w:bottom w:w="75" w:type="dxa"/>
              <w:end w:w="90" w:type="dxa"/>
            </w:tcMar>
          </w:tcPr>
          <w:p>
            <w:pPr>
              <w:spacing w:after="0"/>
              <w:jc w:val="left"/>
            </w:pPr>
            <w:r>
              <w:rPr>
                <w:rFonts w:ascii="Aptos" w:hAnsi="Aptos"/>
                <w:color w:val="282828"/>
                <w:sz w:val="16"/>
              </w:rPr>
              <w:t>Capítulo Iv. Asociados</w:t>
            </w:r>
          </w:p>
        </w:tc>
        <w:tc>
          <w:tcPr>
            <w:tcW w:type="dxa" w:w="4824"/>
            <w:tcMar>
              <w:top w:w="75" w:type="dxa"/>
              <w:start w:w="90" w:type="dxa"/>
              <w:bottom w:w="75" w:type="dxa"/>
              <w:end w:w="90" w:type="dxa"/>
            </w:tcMar>
            <w:shd w:fill="F3F6F9"/>
          </w:tcPr>
          <w:p>
            <w:pPr>
              <w:spacing w:after="0"/>
              <w:jc w:val="left"/>
            </w:pPr>
            <w:r>
              <w:rPr>
                <w:rFonts w:ascii="Aptos" w:hAnsi="Aptos"/>
                <w:color w:val="282828"/>
                <w:sz w:val="16"/>
              </w:rPr>
              <w:t>Capítulo Xvii. Redes Sociales, Imagen Y Propiedad Intelectual</w:t>
            </w:r>
          </w:p>
        </w:tc>
      </w:tr>
      <w:tr>
        <w:tc>
          <w:tcPr>
            <w:tcW w:type="dxa" w:w="4824"/>
            <w:tcMar>
              <w:top w:w="75" w:type="dxa"/>
              <w:start w:w="90" w:type="dxa"/>
              <w:bottom w:w="75" w:type="dxa"/>
              <w:end w:w="90" w:type="dxa"/>
            </w:tcMar>
            <w:shd w:fill="F4F7FA"/>
          </w:tcPr>
          <w:p>
            <w:pPr>
              <w:spacing w:after="0"/>
              <w:jc w:val="left"/>
            </w:pPr>
            <w:r>
              <w:rPr>
                <w:rFonts w:ascii="Aptos" w:hAnsi="Aptos"/>
                <w:color w:val="282828"/>
                <w:sz w:val="16"/>
              </w:rPr>
              <w:t>Capítulo V. Asamblea General</w:t>
            </w:r>
          </w:p>
        </w:tc>
        <w:tc>
          <w:tcPr>
            <w:tcW w:type="dxa" w:w="4824"/>
            <w:tcMar>
              <w:top w:w="75" w:type="dxa"/>
              <w:start w:w="90" w:type="dxa"/>
              <w:bottom w:w="75" w:type="dxa"/>
              <w:end w:w="90" w:type="dxa"/>
            </w:tcMar>
            <w:shd w:fill="F4F7FA"/>
          </w:tcPr>
          <w:p>
            <w:pPr>
              <w:spacing w:after="0"/>
              <w:jc w:val="left"/>
            </w:pPr>
            <w:r>
              <w:rPr>
                <w:rFonts w:ascii="Aptos" w:hAnsi="Aptos"/>
                <w:color w:val="282828"/>
                <w:sz w:val="16"/>
              </w:rPr>
              <w:t>Capítulo Xviii. Protección De Datos Personales</w:t>
            </w:r>
          </w:p>
        </w:tc>
      </w:tr>
      <w:tr>
        <w:tc>
          <w:tcPr>
            <w:tcW w:type="dxa" w:w="4824"/>
            <w:tcMar>
              <w:top w:w="75" w:type="dxa"/>
              <w:start w:w="90" w:type="dxa"/>
              <w:bottom w:w="75" w:type="dxa"/>
              <w:end w:w="90" w:type="dxa"/>
            </w:tcMar>
          </w:tcPr>
          <w:p>
            <w:pPr>
              <w:spacing w:after="0"/>
              <w:jc w:val="left"/>
            </w:pPr>
            <w:r>
              <w:rPr>
                <w:rFonts w:ascii="Aptos" w:hAnsi="Aptos"/>
                <w:color w:val="282828"/>
                <w:sz w:val="16"/>
              </w:rPr>
              <w:t>Capítulo Vi. Junta Directiva</w:t>
            </w:r>
          </w:p>
        </w:tc>
        <w:tc>
          <w:tcPr>
            <w:tcW w:type="dxa" w:w="4824"/>
            <w:tcMar>
              <w:top w:w="75" w:type="dxa"/>
              <w:start w:w="90" w:type="dxa"/>
              <w:bottom w:w="75" w:type="dxa"/>
              <w:end w:w="90" w:type="dxa"/>
            </w:tcMar>
            <w:shd w:fill="F3F6F9"/>
          </w:tcPr>
          <w:p>
            <w:pPr>
              <w:spacing w:after="0"/>
              <w:jc w:val="left"/>
            </w:pPr>
            <w:r>
              <w:rPr>
                <w:rFonts w:ascii="Aptos" w:hAnsi="Aptos"/>
                <w:color w:val="282828"/>
                <w:sz w:val="16"/>
              </w:rPr>
              <w:t>Capítulo Xix. Gestión Documental</w:t>
            </w:r>
          </w:p>
        </w:tc>
      </w:tr>
      <w:tr>
        <w:tc>
          <w:tcPr>
            <w:tcW w:type="dxa" w:w="4824"/>
            <w:tcMar>
              <w:top w:w="75" w:type="dxa"/>
              <w:start w:w="90" w:type="dxa"/>
              <w:bottom w:w="75" w:type="dxa"/>
              <w:end w:w="90" w:type="dxa"/>
            </w:tcMar>
            <w:shd w:fill="F4F7FA"/>
          </w:tcPr>
          <w:p>
            <w:pPr>
              <w:spacing w:after="0"/>
              <w:jc w:val="left"/>
            </w:pPr>
            <w:r>
              <w:rPr>
                <w:rFonts w:ascii="Aptos" w:hAnsi="Aptos"/>
                <w:color w:val="282828"/>
                <w:sz w:val="16"/>
              </w:rPr>
              <w:t>Capítulo Vii. Funciones De Los Cargos</w:t>
            </w:r>
          </w:p>
        </w:tc>
        <w:tc>
          <w:tcPr>
            <w:tcW w:type="dxa" w:w="4824"/>
            <w:tcMar>
              <w:top w:w="75" w:type="dxa"/>
              <w:start w:w="90" w:type="dxa"/>
              <w:bottom w:w="75" w:type="dxa"/>
              <w:end w:w="90" w:type="dxa"/>
            </w:tcMar>
            <w:shd w:fill="F4F7FA"/>
          </w:tcPr>
          <w:p>
            <w:pPr>
              <w:spacing w:after="0"/>
              <w:jc w:val="left"/>
            </w:pPr>
            <w:r>
              <w:rPr>
                <w:rFonts w:ascii="Aptos" w:hAnsi="Aptos"/>
                <w:color w:val="282828"/>
                <w:sz w:val="16"/>
              </w:rPr>
              <w:t>Capítulo Xx. Conflictos De Interés E Inhabilidades</w:t>
            </w:r>
          </w:p>
        </w:tc>
      </w:tr>
      <w:tr>
        <w:tc>
          <w:tcPr>
            <w:tcW w:type="dxa" w:w="4824"/>
            <w:tcMar>
              <w:top w:w="75" w:type="dxa"/>
              <w:start w:w="90" w:type="dxa"/>
              <w:bottom w:w="75" w:type="dxa"/>
              <w:end w:w="90" w:type="dxa"/>
            </w:tcMar>
          </w:tcPr>
          <w:p>
            <w:pPr>
              <w:spacing w:after="0"/>
              <w:jc w:val="left"/>
            </w:pPr>
            <w:r>
              <w:rPr>
                <w:rFonts w:ascii="Aptos" w:hAnsi="Aptos"/>
                <w:color w:val="282828"/>
                <w:sz w:val="16"/>
              </w:rPr>
              <w:t>Capítulo Viii. Fiscal Y Control Interno</w:t>
            </w:r>
          </w:p>
        </w:tc>
        <w:tc>
          <w:tcPr>
            <w:tcW w:type="dxa" w:w="4824"/>
            <w:tcMar>
              <w:top w:w="75" w:type="dxa"/>
              <w:start w:w="90" w:type="dxa"/>
              <w:bottom w:w="75" w:type="dxa"/>
              <w:end w:w="90" w:type="dxa"/>
            </w:tcMar>
            <w:shd w:fill="F3F6F9"/>
          </w:tcPr>
          <w:p>
            <w:pPr>
              <w:spacing w:after="0"/>
              <w:jc w:val="left"/>
            </w:pPr>
            <w:r>
              <w:rPr>
                <w:rFonts w:ascii="Aptos" w:hAnsi="Aptos"/>
                <w:color w:val="282828"/>
                <w:sz w:val="16"/>
              </w:rPr>
              <w:t>Capítulo Xxi. Renuncias, Vacancias Y Reemplazos</w:t>
            </w:r>
          </w:p>
        </w:tc>
      </w:tr>
      <w:tr>
        <w:tc>
          <w:tcPr>
            <w:tcW w:type="dxa" w:w="4824"/>
            <w:tcMar>
              <w:top w:w="75" w:type="dxa"/>
              <w:start w:w="90" w:type="dxa"/>
              <w:bottom w:w="75" w:type="dxa"/>
              <w:end w:w="90" w:type="dxa"/>
            </w:tcMar>
            <w:shd w:fill="F4F7FA"/>
          </w:tcPr>
          <w:p>
            <w:pPr>
              <w:spacing w:after="0"/>
              <w:jc w:val="left"/>
            </w:pPr>
            <w:r>
              <w:rPr>
                <w:rFonts w:ascii="Aptos" w:hAnsi="Aptos"/>
                <w:color w:val="282828"/>
                <w:sz w:val="16"/>
              </w:rPr>
              <w:t>Capítulo Ix. Reuniones, Decisiones Y Actas</w:t>
            </w:r>
          </w:p>
        </w:tc>
        <w:tc>
          <w:tcPr>
            <w:tcW w:type="dxa" w:w="4824"/>
            <w:tcMar>
              <w:top w:w="75" w:type="dxa"/>
              <w:start w:w="90" w:type="dxa"/>
              <w:bottom w:w="75" w:type="dxa"/>
              <w:end w:w="90" w:type="dxa"/>
            </w:tcMar>
            <w:shd w:fill="F4F7FA"/>
          </w:tcPr>
          <w:p>
            <w:pPr>
              <w:spacing w:after="0"/>
              <w:jc w:val="left"/>
            </w:pPr>
            <w:r>
              <w:rPr>
                <w:rFonts w:ascii="Aptos" w:hAnsi="Aptos"/>
                <w:color w:val="282828"/>
                <w:sz w:val="16"/>
              </w:rPr>
              <w:t>Capítulo Xxii. Comités, Voluntarios Y Asesores</w:t>
            </w:r>
          </w:p>
        </w:tc>
      </w:tr>
      <w:tr>
        <w:tc>
          <w:tcPr>
            <w:tcW w:type="dxa" w:w="4824"/>
            <w:tcMar>
              <w:top w:w="75" w:type="dxa"/>
              <w:start w:w="90" w:type="dxa"/>
              <w:bottom w:w="75" w:type="dxa"/>
              <w:end w:w="90" w:type="dxa"/>
            </w:tcMar>
          </w:tcPr>
          <w:p>
            <w:pPr>
              <w:spacing w:after="0"/>
              <w:jc w:val="left"/>
            </w:pPr>
            <w:r>
              <w:rPr>
                <w:rFonts w:ascii="Aptos" w:hAnsi="Aptos"/>
                <w:color w:val="282828"/>
                <w:sz w:val="16"/>
              </w:rPr>
              <w:t>Capítulo X. Planeación Y Presupuesto</w:t>
            </w:r>
          </w:p>
        </w:tc>
        <w:tc>
          <w:tcPr>
            <w:tcW w:type="dxa" w:w="4824"/>
            <w:tcMar>
              <w:top w:w="75" w:type="dxa"/>
              <w:start w:w="90" w:type="dxa"/>
              <w:bottom w:w="75" w:type="dxa"/>
              <w:end w:w="90" w:type="dxa"/>
            </w:tcMar>
            <w:shd w:fill="F3F6F9"/>
          </w:tcPr>
          <w:p>
            <w:pPr>
              <w:spacing w:after="0"/>
              <w:jc w:val="left"/>
            </w:pPr>
            <w:r>
              <w:rPr>
                <w:rFonts w:ascii="Aptos" w:hAnsi="Aptos"/>
                <w:color w:val="282828"/>
                <w:sz w:val="16"/>
              </w:rPr>
              <w:t>Capítulo Xxiii. Talento Humano Y Contratistas</w:t>
            </w:r>
          </w:p>
        </w:tc>
      </w:tr>
      <w:tr>
        <w:tc>
          <w:tcPr>
            <w:tcW w:type="dxa" w:w="4824"/>
            <w:tcMar>
              <w:top w:w="75" w:type="dxa"/>
              <w:start w:w="90" w:type="dxa"/>
              <w:bottom w:w="75" w:type="dxa"/>
              <w:end w:w="90" w:type="dxa"/>
            </w:tcMar>
            <w:shd w:fill="F4F7FA"/>
          </w:tcPr>
          <w:p>
            <w:pPr>
              <w:spacing w:after="0"/>
              <w:jc w:val="left"/>
            </w:pPr>
            <w:r>
              <w:rPr>
                <w:rFonts w:ascii="Aptos" w:hAnsi="Aptos"/>
                <w:color w:val="282828"/>
                <w:sz w:val="16"/>
              </w:rPr>
              <w:t>Capítulo Xi. Cuotas, Donaciones Y Recaudos</w:t>
            </w:r>
          </w:p>
        </w:tc>
        <w:tc>
          <w:tcPr>
            <w:tcW w:type="dxa" w:w="4824"/>
            <w:tcMar>
              <w:top w:w="75" w:type="dxa"/>
              <w:start w:w="90" w:type="dxa"/>
              <w:bottom w:w="75" w:type="dxa"/>
              <w:end w:w="90" w:type="dxa"/>
            </w:tcMar>
            <w:shd w:fill="F4F7FA"/>
          </w:tcPr>
          <w:p>
            <w:pPr>
              <w:spacing w:after="0"/>
              <w:jc w:val="left"/>
            </w:pPr>
            <w:r>
              <w:rPr>
                <w:rFonts w:ascii="Aptos" w:hAnsi="Aptos"/>
                <w:color w:val="282828"/>
                <w:sz w:val="16"/>
              </w:rPr>
              <w:t>Capítulo Xxiv. Empalme Y Cierre De Período</w:t>
            </w:r>
          </w:p>
        </w:tc>
      </w:tr>
      <w:tr>
        <w:tc>
          <w:tcPr>
            <w:tcW w:type="dxa" w:w="4824"/>
            <w:tcMar>
              <w:top w:w="75" w:type="dxa"/>
              <w:start w:w="90" w:type="dxa"/>
              <w:bottom w:w="75" w:type="dxa"/>
              <w:end w:w="90" w:type="dxa"/>
            </w:tcMar>
          </w:tcPr>
          <w:p>
            <w:pPr>
              <w:spacing w:after="0"/>
              <w:jc w:val="left"/>
            </w:pPr>
            <w:r>
              <w:rPr>
                <w:rFonts w:ascii="Aptos" w:hAnsi="Aptos"/>
                <w:color w:val="282828"/>
                <w:sz w:val="16"/>
              </w:rPr>
              <w:t>Capítulo Xii. Tesorería, Contabilidad Y Control Financiero</w:t>
            </w:r>
          </w:p>
        </w:tc>
        <w:tc>
          <w:tcPr>
            <w:tcW w:type="dxa" w:w="4824"/>
            <w:tcMar>
              <w:top w:w="75" w:type="dxa"/>
              <w:start w:w="90" w:type="dxa"/>
              <w:bottom w:w="75" w:type="dxa"/>
              <w:end w:w="90" w:type="dxa"/>
            </w:tcMar>
            <w:shd w:fill="F3F6F9"/>
          </w:tcPr>
          <w:p>
            <w:pPr>
              <w:spacing w:after="0"/>
              <w:jc w:val="left"/>
            </w:pPr>
            <w:r>
              <w:rPr>
                <w:rFonts w:ascii="Aptos" w:hAnsi="Aptos"/>
                <w:color w:val="282828"/>
                <w:sz w:val="16"/>
              </w:rPr>
              <w:t>Capítulo Xxv. Debido Proceso Y Solución De Controversias</w:t>
            </w:r>
          </w:p>
        </w:tc>
      </w:tr>
      <w:tr>
        <w:tc>
          <w:tcPr>
            <w:tcW w:type="dxa" w:w="4824"/>
            <w:tcMar>
              <w:top w:w="75" w:type="dxa"/>
              <w:start w:w="90" w:type="dxa"/>
              <w:bottom w:w="75" w:type="dxa"/>
              <w:end w:w="90" w:type="dxa"/>
            </w:tcMar>
            <w:shd w:fill="F4F7FA"/>
          </w:tcPr>
          <w:p>
            <w:pPr>
              <w:spacing w:after="0"/>
              <w:jc w:val="left"/>
            </w:pPr>
            <w:r>
              <w:rPr>
                <w:rFonts w:ascii="Aptos" w:hAnsi="Aptos"/>
                <w:color w:val="282828"/>
                <w:sz w:val="16"/>
              </w:rPr>
              <w:t>Capítulo Xiii. Compras Y Contratación</w:t>
            </w:r>
          </w:p>
        </w:tc>
        <w:tc>
          <w:tcPr>
            <w:tcW w:type="dxa" w:w="4824"/>
            <w:tcMar>
              <w:top w:w="75" w:type="dxa"/>
              <w:start w:w="90" w:type="dxa"/>
              <w:bottom w:w="75" w:type="dxa"/>
              <w:end w:w="90" w:type="dxa"/>
            </w:tcMar>
            <w:shd w:fill="F4F7FA"/>
          </w:tcPr>
          <w:p>
            <w:pPr>
              <w:spacing w:after="0"/>
              <w:jc w:val="left"/>
            </w:pPr>
            <w:r>
              <w:rPr>
                <w:rFonts w:ascii="Aptos" w:hAnsi="Aptos"/>
                <w:color w:val="282828"/>
                <w:sz w:val="16"/>
              </w:rPr>
              <w:t>Capítulo Xxvi. Interpretación, Reforma Y Vigencia</w:t>
            </w:r>
          </w:p>
        </w:tc>
      </w:tr>
    </w:tbl>
    <w:p>
      <w:pPr>
        <w:widowControl/>
      </w:pPr>
      <w:r>
        <w:br w:type="page"/>
      </w:r>
    </w:p>
    <w:p>
      <w:pPr>
        <w:pStyle w:val="Heading1"/>
        <w:spacing w:before="240" w:after="140"/>
        <w:ind w:left="115"/>
        <w:jc w:val="left"/>
        <w:pageBreakBefore/>
        <w:widowControl/>
        <w:pBdr>
          <w:bottom w:val="single" w:sz="8" w:color="1F4E79" w:space="3"/>
        </w:pBdr>
        <w:pBdr>
          <w:bottom w:val="single" w:sz="10" w:space="3" w:color="1F4E79"/>
        </w:pBdr>
        <w:shd w:fill="F4F7FA"/>
      </w:pPr>
      <w:r>
        <w:t>Capítulo I. Disposiciones Generales</w:t>
      </w:r>
    </w:p>
    <w:p>
      <w:pPr>
        <w:pStyle w:val="Heading2"/>
        <w:widowControl/>
        <w:spacing w:before="140" w:after="60"/>
      </w:pPr>
      <w:r>
        <w:t>Artículo 1. Objeto</w:t>
      </w:r>
    </w:p>
    <w:p>
      <w:pPr>
        <w:pStyle w:val="ArticleBody"/>
        <w:widowControl/>
        <w:jc w:val="both"/>
      </w:pPr>
      <w:r>
        <w:t>El presente reglamento establece las reglas de organización, administración, control y procedimiento interno de la Asociación de Padres de Familia del Liceo Francés de Pereira, en adelante ASOPADRES, con el fin de convertir las obligaciones legales y estatutarias en procesos verificables, transparentes y documentados.</w:t>
      </w:r>
    </w:p>
    <w:p>
      <w:pPr>
        <w:pStyle w:val="Heading2"/>
        <w:widowControl/>
        <w:spacing w:before="140" w:after="60"/>
      </w:pPr>
      <w:r>
        <w:t>Artículo 2. Ámbito exclusivo de aplicación</w:t>
      </w:r>
    </w:p>
    <w:p>
      <w:pPr>
        <w:pStyle w:val="ArticleBody"/>
        <w:widowControl/>
        <w:jc w:val="both"/>
      </w:pPr>
      <w:r>
        <w:t>Este reglamento se aplica únicamente a ASOPADRES, a su Asamblea General, Junta Directiva, fiscal, comités, asociados, trabajadores, contratistas, proveedores y voluntarios, en lo relacionado con sus actuaciones frente a la Asociación.</w:t>
      </w:r>
    </w:p>
    <w:p>
      <w:pPr>
        <w:pStyle w:val="ArticleBody"/>
        <w:widowControl/>
        <w:jc w:val="both"/>
      </w:pPr>
      <w:r>
        <w:t>No regula ni modifica la estructura, competencias, decisiones o procedimientos de la Corporación Liceo Francés de Pereira, el establecimiento educativo, la Rectoría, el Consejo Directivo, el Consejo de Padres, los representantes de curso ni los demás órganos del gobierno escolar.</w:t>
      </w:r>
    </w:p>
    <w:p>
      <w:pPr>
        <w:pStyle w:val="Heading2"/>
        <w:widowControl/>
        <w:spacing w:before="140" w:after="60"/>
      </w:pPr>
      <w:r>
        <w:t>Artículo 3. Jerarquía normativa</w:t>
      </w:r>
    </w:p>
    <w:p>
      <w:pPr>
        <w:pStyle w:val="ArticleBody"/>
        <w:widowControl/>
        <w:jc w:val="both"/>
      </w:pPr>
      <w:r>
        <w:t>Las actuaciones de ASOPADRES se regirán, en orden de prevalencia, por la Constitución, la ley, la normativa educativa aplicable, los estatutos vigentes inscritos, las decisiones válidas de la Asamblea General y el presente reglamento.</w:t>
      </w:r>
    </w:p>
    <w:p>
      <w:pPr>
        <w:pStyle w:val="ArticleBody"/>
        <w:widowControl/>
        <w:jc w:val="both"/>
      </w:pPr>
      <w:r>
        <w:t>Cuando exista contradicción entre este reglamento y los estatutos, prevalecerán los estatutos. Toda materia reservada a la Asamblea o a una reforma estatutaria no podrá modificarse mediante decisión de Junta.</w:t>
      </w:r>
    </w:p>
    <w:p>
      <w:pPr>
        <w:pStyle w:val="Heading2"/>
        <w:widowControl/>
        <w:spacing w:before="140" w:after="60"/>
      </w:pPr>
      <w:r>
        <w:t>Artículo 4. Finalidad procedimental</w:t>
      </w:r>
    </w:p>
    <w:p>
      <w:pPr>
        <w:pStyle w:val="ArticleBody"/>
        <w:widowControl/>
        <w:jc w:val="both"/>
      </w:pPr>
      <w:r>
        <w:t>Cada procedimiento deberá identificar como mínimo: responsable, órgano competente, documentos de entrada, actividad, control, plazo, evidencia, archivo y mecanismo de seguimiento.</w:t>
      </w:r>
    </w:p>
    <w:p>
      <w:pPr>
        <w:pStyle w:val="Heading2"/>
        <w:widowControl/>
        <w:spacing w:before="140" w:after="60"/>
      </w:pPr>
      <w:r>
        <w:t>Artículo 5. Definiciones</w:t>
      </w:r>
    </w:p>
    <w:p>
      <w:pPr>
        <w:pStyle w:val="ArticleBody"/>
        <w:widowControl/>
        <w:ind w:left="317" w:hanging="216"/>
        <w:jc w:val="both"/>
      </w:pPr>
      <w:r>
        <w:t>Asociado activo: padre, madre, tutor o acudiente afiliado conforme a los estatutos.</w:t>
      </w:r>
    </w:p>
    <w:p>
      <w:pPr>
        <w:pStyle w:val="ArticleBody"/>
        <w:widowControl/>
        <w:jc w:val="both"/>
      </w:pPr>
      <w:r>
        <w:t>Asociado hábil: asociado activo que reúne los requisitos estatutarios para ejercer derechos políticos y económicos.</w:t>
      </w:r>
    </w:p>
    <w:p>
      <w:pPr>
        <w:pStyle w:val="ArticleBody"/>
        <w:widowControl/>
        <w:ind w:left="317" w:hanging="216"/>
        <w:jc w:val="both"/>
      </w:pPr>
      <w:r>
        <w:t>Junta: Junta Directiva de ASOPADRES.</w:t>
      </w:r>
    </w:p>
    <w:p>
      <w:pPr>
        <w:pStyle w:val="ArticleBody"/>
        <w:widowControl/>
        <w:ind w:left="317" w:hanging="216"/>
        <w:jc w:val="both"/>
      </w:pPr>
      <w:r>
        <w:t>Fiscal: órgano individual de vigilancia elegido por la Asamblea.</w:t>
      </w:r>
    </w:p>
    <w:p>
      <w:pPr>
        <w:pStyle w:val="ArticleBody"/>
        <w:widowControl/>
        <w:jc w:val="both"/>
      </w:pPr>
      <w:r>
        <w:t>Proyecto: conjunto temporal de actividades, recursos y responsables destinado al cumplimiento del objeto social.</w:t>
      </w:r>
    </w:p>
    <w:p>
      <w:pPr>
        <w:pStyle w:val="ArticleBody"/>
        <w:widowControl/>
        <w:jc w:val="both"/>
      </w:pPr>
      <w:r>
        <w:t>Soporte: documento físico o digital que acredita una actuación, aprobación, ingreso, gasto, entrega o decisión.</w:t>
      </w:r>
    </w:p>
    <w:p>
      <w:pPr>
        <w:pStyle w:val="ArticleBody"/>
        <w:widowControl/>
        <w:ind w:left="317" w:hanging="216"/>
        <w:jc w:val="both"/>
      </w:pPr>
      <w:r>
        <w:t>Colegio o establecimiento: Liceo Francés de Pereira, entidad distinta de ASOPADRES.</w:t>
      </w:r>
    </w:p>
    <w:p>
      <w:pPr>
        <w:pStyle w:val="Heading1"/>
        <w:spacing w:before="240" w:after="140"/>
        <w:ind w:left="115"/>
        <w:jc w:val="left"/>
        <w:pageBreakBefore/>
        <w:widowControl/>
        <w:pBdr>
          <w:bottom w:val="single" w:sz="8" w:color="1F4E79" w:space="3"/>
        </w:pBdr>
        <w:pBdr>
          <w:bottom w:val="single" w:sz="10" w:space="3" w:color="1F4E79"/>
        </w:pBdr>
        <w:shd w:fill="F4F7FA"/>
      </w:pPr>
      <w:r>
        <w:t>Capítulo Ii. Naturaleza, Autonomía, Objeto Y Límites</w:t>
      </w:r>
    </w:p>
    <w:p>
      <w:pPr>
        <w:pStyle w:val="Heading2"/>
        <w:widowControl/>
        <w:spacing w:before="140" w:after="60"/>
      </w:pPr>
      <w:r>
        <w:t>Artículo 6. Naturaleza y autonomía</w:t>
      </w:r>
    </w:p>
    <w:p>
      <w:pPr>
        <w:pStyle w:val="ArticleBody"/>
        <w:widowControl/>
        <w:jc w:val="both"/>
      </w:pPr>
      <w:r>
        <w:t>ASOPADRES es una persona jurídica de derecho privado, sin ánimo de lucro, con autonomía administrativa, financiera y patrimonial. Su sede dentro del colegio no implica subordinación jurídica ni transferencia de competencias.</w:t>
      </w:r>
    </w:p>
    <w:p>
      <w:pPr>
        <w:pStyle w:val="Heading2"/>
        <w:widowControl/>
        <w:spacing w:before="140" w:after="60"/>
      </w:pPr>
      <w:r>
        <w:t>Artículo 7. Objeto y destinación de actividades</w:t>
      </w:r>
    </w:p>
    <w:p>
      <w:pPr>
        <w:pStyle w:val="ArticleBody"/>
        <w:widowControl/>
        <w:jc w:val="both"/>
      </w:pPr>
      <w:r>
        <w:t>Toda decisión, contrato, gasto, proyecto, comunicación o actividad deberá guardar relación directa y verificable con los objetivos estatutarios y las finalidades legales de las asociaciones de padres.</w:t>
      </w:r>
    </w:p>
    <w:p>
      <w:pPr>
        <w:pStyle w:val="Heading2"/>
        <w:widowControl/>
        <w:spacing w:before="140" w:after="60"/>
      </w:pPr>
      <w:r>
        <w:t>Artículo 8. Separación institucional</w:t>
      </w:r>
    </w:p>
    <w:p>
      <w:pPr>
        <w:pStyle w:val="ArticleBody"/>
        <w:widowControl/>
        <w:jc w:val="both"/>
      </w:pPr>
      <w:r>
        <w:t>ASOPADRES no administra el colegio ni puede adoptar decisiones académicas, pedagógicas, disciplinarias, laborales, de matrícula, pensiones, admisiones, evaluación, promoción, calendario, contratación docente o manejo de infraestructura institucional.</w:t>
      </w:r>
    </w:p>
    <w:p>
      <w:pPr>
        <w:pStyle w:val="Heading2"/>
        <w:widowControl/>
        <w:spacing w:before="140" w:after="60"/>
      </w:pPr>
      <w:r>
        <w:t>Artículo 9. Articulación con el establecimiento</w:t>
      </w:r>
    </w:p>
    <w:p>
      <w:pPr>
        <w:pStyle w:val="ArticleBody"/>
        <w:widowControl/>
        <w:jc w:val="both"/>
      </w:pPr>
      <w:r>
        <w:t>Cuando una iniciativa involucre estudiantes, docentes, funcionarios, espacios, infraestructura, tiempos escolares, bases de datos, imagen o signos del colegio, ASOPADRES deberá socializarla y obtener la autorización escrita de la instancia que el establecimiento determine antes de su ejecución.</w:t>
      </w:r>
    </w:p>
    <w:p>
      <w:pPr>
        <w:pStyle w:val="ArticleBody"/>
        <w:widowControl/>
        <w:jc w:val="both"/>
      </w:pPr>
      <w:r>
        <w:t>La ausencia de respuesta no se entenderá como autorización.</w:t>
      </w:r>
    </w:p>
    <w:p>
      <w:pPr>
        <w:pStyle w:val="Heading2"/>
        <w:widowControl/>
        <w:spacing w:before="140" w:after="60"/>
      </w:pPr>
      <w:r>
        <w:t>Artículo 10. Prohibiciones generales</w:t>
      </w:r>
    </w:p>
    <w:p>
      <w:pPr>
        <w:pStyle w:val="ArticleBody"/>
        <w:widowControl/>
        <w:ind w:left="317" w:hanging="216"/>
        <w:jc w:val="both"/>
      </w:pPr>
      <w:r>
        <w:t>Imponer afiliación, compras, cuotas, ventas, donaciones o participación en actividades.</w:t>
      </w:r>
    </w:p>
    <w:p>
      <w:pPr>
        <w:pStyle w:val="ArticleBody"/>
        <w:widowControl/>
        <w:ind w:left="317" w:hanging="216"/>
        <w:jc w:val="both"/>
      </w:pPr>
      <w:r>
        <w:t>Asumir funciones de autoridades u órganos del establecimiento o de entidades de inspección y vigilancia.</w:t>
      </w:r>
    </w:p>
    <w:p>
      <w:pPr>
        <w:pStyle w:val="ArticleBody"/>
        <w:widowControl/>
        <w:ind w:left="317" w:hanging="216"/>
        <w:jc w:val="both"/>
      </w:pPr>
      <w:r>
        <w:t>Destinar recursos al beneficio particular de directivos, asociados o terceros.</w:t>
      </w:r>
    </w:p>
    <w:p>
      <w:pPr>
        <w:pStyle w:val="ArticleBody"/>
        <w:widowControl/>
        <w:ind w:left="317" w:hanging="216"/>
        <w:jc w:val="both"/>
      </w:pPr>
      <w:r>
        <w:t>Usar el nombre, marca, instalaciones, datos o imagen del colegio sin autorización.</w:t>
      </w:r>
    </w:p>
    <w:p>
      <w:pPr>
        <w:pStyle w:val="ArticleBody"/>
        <w:widowControl/>
        <w:jc w:val="both"/>
      </w:pPr>
      <w:r>
        <w:t>Organizar o patrocinar actividades incompatibles con la protección de menores, con consumo de bebidas alcohólicas o juegos de azar prohibidos por la normativa aplicable.</w:t>
      </w:r>
    </w:p>
    <w:p>
      <w:pPr>
        <w:pStyle w:val="ArticleBody"/>
        <w:widowControl/>
        <w:ind w:left="317" w:hanging="216"/>
        <w:jc w:val="both"/>
      </w:pPr>
      <w:r>
        <w:t>Desarrollar actividades partidistas o contrarias al objeto social.</w:t>
      </w:r>
    </w:p>
    <w:p>
      <w:pPr>
        <w:pStyle w:val="Heading1"/>
        <w:spacing w:before="240" w:after="140"/>
        <w:ind w:left="115"/>
        <w:jc w:val="left"/>
        <w:pageBreakBefore/>
        <w:widowControl/>
        <w:pBdr>
          <w:bottom w:val="single" w:sz="8" w:color="1F4E79" w:space="3"/>
        </w:pBdr>
        <w:pBdr>
          <w:bottom w:val="single" w:sz="10" w:space="3" w:color="1F4E79"/>
        </w:pBdr>
        <w:shd w:fill="F4F7FA"/>
      </w:pPr>
      <w:r>
        <w:t>Capítulo Iii. Principios De Actuación</w:t>
      </w:r>
    </w:p>
    <w:p>
      <w:pPr>
        <w:pStyle w:val="Heading2"/>
        <w:widowControl/>
        <w:spacing w:before="140" w:after="60"/>
      </w:pPr>
      <w:r>
        <w:t>Artículo 11. Principios</w:t>
      </w:r>
    </w:p>
    <w:p>
      <w:pPr>
        <w:pStyle w:val="ArticleBody"/>
        <w:widowControl/>
        <w:ind w:left="317" w:hanging="216"/>
        <w:jc w:val="both"/>
      </w:pPr>
      <w:r>
        <w:t>Legalidad y supremacía estatutaria.</w:t>
      </w:r>
    </w:p>
    <w:p>
      <w:pPr>
        <w:pStyle w:val="ArticleBody"/>
        <w:widowControl/>
        <w:ind w:left="317" w:hanging="216"/>
        <w:jc w:val="both"/>
      </w:pPr>
      <w:r>
        <w:t>Libre asociación y participación democrática.</w:t>
      </w:r>
    </w:p>
    <w:p>
      <w:pPr>
        <w:pStyle w:val="ArticleBody"/>
        <w:widowControl/>
        <w:ind w:left="317" w:hanging="216"/>
        <w:jc w:val="both"/>
      </w:pPr>
      <w:r>
        <w:t>Interés superior de niños, niñas y adolescentes.</w:t>
      </w:r>
    </w:p>
    <w:p>
      <w:pPr>
        <w:pStyle w:val="ArticleBody"/>
        <w:widowControl/>
        <w:ind w:left="317" w:hanging="216"/>
        <w:jc w:val="both"/>
      </w:pPr>
      <w:r>
        <w:t>Buena fe, respeto, imparcialidad y pluralismo.</w:t>
      </w:r>
    </w:p>
    <w:p>
      <w:pPr>
        <w:pStyle w:val="ArticleBody"/>
        <w:widowControl/>
        <w:ind w:left="317" w:hanging="216"/>
        <w:jc w:val="both"/>
      </w:pPr>
      <w:r>
        <w:t>Planeación, economía, eficiencia y sostenibilidad.</w:t>
      </w:r>
    </w:p>
    <w:p>
      <w:pPr>
        <w:pStyle w:val="ArticleBody"/>
        <w:widowControl/>
        <w:ind w:left="317" w:hanging="216"/>
        <w:jc w:val="both"/>
      </w:pPr>
      <w:r>
        <w:t>Transparencia, trazabilidad, rendición de cuentas y control.</w:t>
      </w:r>
    </w:p>
    <w:p>
      <w:pPr>
        <w:pStyle w:val="ArticleBody"/>
        <w:widowControl/>
        <w:ind w:left="317" w:hanging="216"/>
        <w:jc w:val="both"/>
      </w:pPr>
      <w:r>
        <w:t>Confidencialidad y protección de datos.</w:t>
      </w:r>
    </w:p>
    <w:p>
      <w:pPr>
        <w:pStyle w:val="ArticleBody"/>
        <w:widowControl/>
        <w:ind w:left="317" w:hanging="216"/>
        <w:jc w:val="both"/>
      </w:pPr>
      <w:r>
        <w:t>Prevención de conflictos de interés.</w:t>
      </w:r>
    </w:p>
    <w:p>
      <w:pPr>
        <w:pStyle w:val="ArticleBody"/>
        <w:widowControl/>
        <w:ind w:left="317" w:hanging="216"/>
        <w:jc w:val="both"/>
      </w:pPr>
      <w:r>
        <w:t>Continuidad institucional y conservación documental.</w:t>
      </w:r>
    </w:p>
    <w:p>
      <w:pPr>
        <w:pStyle w:val="Heading2"/>
        <w:widowControl/>
        <w:spacing w:before="140" w:after="60"/>
      </w:pPr>
      <w:r>
        <w:t>Artículo 12. Deber de diligencia</w:t>
      </w:r>
    </w:p>
    <w:p>
      <w:pPr>
        <w:pStyle w:val="ArticleBody"/>
        <w:widowControl/>
        <w:jc w:val="both"/>
      </w:pPr>
      <w:r>
        <w:t>Los directivos deberán informarse suficientemente antes de decidir, solicitar conceptos cuando el asunto sea especializado, dejar constancia de los fundamentos y actuar en interés de ASOPADRES y de su objeto social.</w:t>
      </w:r>
    </w:p>
    <w:p>
      <w:pPr>
        <w:pStyle w:val="Heading2"/>
        <w:widowControl/>
        <w:spacing w:before="140" w:after="60"/>
      </w:pPr>
      <w:r>
        <w:t>Artículo 13. Actuación colegiada</w:t>
      </w:r>
    </w:p>
    <w:p>
      <w:pPr>
        <w:pStyle w:val="ArticleBody"/>
        <w:widowControl/>
        <w:jc w:val="both"/>
      </w:pPr>
      <w:r>
        <w:t>Ningún miembro individual podrá comprometer recursos, celebrar contratos, impartir órdenes a trabajadores o emitir posiciones institucionales sin competencia estatutaria o autorización válida de la Junta.</w:t>
      </w:r>
    </w:p>
    <w:p>
      <w:pPr>
        <w:pStyle w:val="Heading1"/>
        <w:spacing w:before="240" w:after="140"/>
        <w:ind w:left="115"/>
        <w:jc w:val="left"/>
        <w:pageBreakBefore/>
        <w:widowControl/>
        <w:pBdr>
          <w:bottom w:val="single" w:sz="8" w:color="1F4E79" w:space="3"/>
        </w:pBdr>
        <w:pBdr>
          <w:bottom w:val="single" w:sz="10" w:space="3" w:color="1F4E79"/>
        </w:pBdr>
        <w:shd w:fill="F4F7FA"/>
      </w:pPr>
      <w:r>
        <w:t>Capítulo Iv. Asociados</w:t>
      </w:r>
    </w:p>
    <w:p>
      <w:pPr>
        <w:pStyle w:val="Heading2"/>
        <w:widowControl/>
        <w:spacing w:before="140" w:after="60"/>
      </w:pPr>
      <w:r>
        <w:t>Artículo 14. Afiliación voluntaria</w:t>
      </w:r>
    </w:p>
    <w:p>
      <w:pPr>
        <w:pStyle w:val="ArticleBody"/>
        <w:widowControl/>
        <w:jc w:val="both"/>
      </w:pPr>
      <w:r>
        <w:t>La afiliación será libre y voluntaria. No podrá condicionarse a ella la matrícula, permanencia, acceso a servicios escolares, entrega de documentos o participación del estudiante en actividades académicas.</w:t>
      </w:r>
    </w:p>
    <w:p>
      <w:pPr>
        <w:pStyle w:val="Heading2"/>
        <w:widowControl/>
        <w:spacing w:before="140" w:after="60"/>
      </w:pPr>
      <w:r>
        <w:t>Artículo 15. Registro de asociados</w:t>
      </w:r>
    </w:p>
    <w:p>
      <w:pPr>
        <w:pStyle w:val="ArticleBody"/>
        <w:widowControl/>
        <w:jc w:val="both"/>
      </w:pPr>
      <w:r>
        <w:t>La secretaría o el responsable designado conservará una base actualizada con datos mínimos de identificación, contacto, fecha de afiliación, estado de obligaciones y autorizaciones de tratamiento de datos.</w:t>
      </w:r>
    </w:p>
    <w:p>
      <w:pPr>
        <w:pStyle w:val="Heading2"/>
        <w:widowControl/>
        <w:spacing w:before="140" w:after="60"/>
      </w:pPr>
      <w:r>
        <w:t>Artículo 16. Acreditación de asociado hábil</w:t>
      </w:r>
    </w:p>
    <w:p>
      <w:pPr>
        <w:pStyle w:val="ArticleBody"/>
        <w:widowControl/>
        <w:jc w:val="both"/>
      </w:pPr>
      <w:r>
        <w:t>Para cada Asamblea se elaborará un corte certificado de asociados activos y hábiles. La certificación indicará la fecha de corte, criterios aplicados, total de familias y responsable de la información.</w:t>
      </w:r>
    </w:p>
    <w:p>
      <w:pPr>
        <w:pStyle w:val="Heading2"/>
        <w:widowControl/>
        <w:spacing w:before="140" w:after="60"/>
      </w:pPr>
      <w:r>
        <w:t>Artículo 17. Derechos de información</w:t>
      </w:r>
    </w:p>
    <w:p>
      <w:pPr>
        <w:pStyle w:val="ArticleBody"/>
        <w:widowControl/>
        <w:jc w:val="both"/>
      </w:pPr>
      <w:r>
        <w:t>Las solicitudes de información se atenderán de manera razonable, protegiendo datos personales, información reservada, secretos comerciales y derechos de terceros. El acceso a libros y soportes se realizará mediante consulta controlada, inventario de documentos revisados y prohibición de alterar originales.</w:t>
      </w:r>
    </w:p>
    <w:p>
      <w:pPr>
        <w:pStyle w:val="Heading2"/>
        <w:widowControl/>
        <w:spacing w:before="140" w:after="60"/>
      </w:pPr>
      <w:r>
        <w:t>Artículo 18. Deberes y conducta</w:t>
      </w:r>
    </w:p>
    <w:p>
      <w:pPr>
        <w:pStyle w:val="ArticleBody"/>
        <w:widowControl/>
        <w:jc w:val="both"/>
      </w:pPr>
      <w:r>
        <w:t>Los asociados deberán cumplir los estatutos y decisiones válidas, tratar respetuosamente a los demás miembros, proteger el buen nombre de ASOPADRES, usar la información para fines legítimos y evitar la divulgación de datos o acusaciones no verificadas.</w:t>
      </w:r>
    </w:p>
    <w:p>
      <w:pPr>
        <w:pStyle w:val="Heading2"/>
        <w:widowControl/>
        <w:spacing w:before="140" w:after="60"/>
      </w:pPr>
      <w:r>
        <w:t>Artículo 19. Retiro voluntario</w:t>
      </w:r>
    </w:p>
    <w:p>
      <w:pPr>
        <w:pStyle w:val="ArticleBody"/>
        <w:widowControl/>
        <w:jc w:val="both"/>
      </w:pPr>
      <w:r>
        <w:t>El retiro se solicitará por escrito y producirá efectos hacia el futuro, sin extinguir obligaciones previamente causadas. La Asociación actualizará el registro y acusará recibo.</w:t>
      </w:r>
    </w:p>
    <w:p>
      <w:pPr>
        <w:pStyle w:val="Heading1"/>
        <w:spacing w:before="240" w:after="140"/>
        <w:ind w:left="115"/>
        <w:jc w:val="left"/>
        <w:pageBreakBefore/>
        <w:widowControl/>
        <w:pBdr>
          <w:bottom w:val="single" w:sz="8" w:color="1F4E79" w:space="3"/>
        </w:pBdr>
        <w:pBdr>
          <w:bottom w:val="single" w:sz="10" w:space="3" w:color="1F4E79"/>
        </w:pBdr>
        <w:shd w:fill="F4F7FA"/>
      </w:pPr>
      <w:r>
        <w:t>Capítulo V. Asamblea General</w:t>
      </w:r>
    </w:p>
    <w:p>
      <w:pPr>
        <w:pStyle w:val="Heading2"/>
        <w:widowControl/>
        <w:spacing w:before="140" w:after="60"/>
      </w:pPr>
      <w:r>
        <w:t>Artículo 20. Supremacía y reserva de competencia</w:t>
      </w:r>
    </w:p>
    <w:p>
      <w:pPr>
        <w:pStyle w:val="ArticleBody"/>
        <w:widowControl/>
        <w:jc w:val="both"/>
      </w:pPr>
      <w:r>
        <w:t>La Asamblea es el máximo órgano de ASOPADRES. El reglamento no podrá atribuir a la Junta decisiones reservadas por la ley o los estatutos a la Asamblea.</w:t>
      </w:r>
    </w:p>
    <w:p>
      <w:pPr>
        <w:pStyle w:val="Heading2"/>
        <w:widowControl/>
        <w:spacing w:before="140" w:after="60"/>
      </w:pPr>
      <w:r>
        <w:t>Artículo 21. Planeación de la Asamblea</w:t>
      </w:r>
    </w:p>
    <w:p>
      <w:pPr>
        <w:pStyle w:val="ArticleBody"/>
        <w:widowControl/>
        <w:jc w:val="both"/>
      </w:pPr>
      <w:r>
        <w:t>La Junta aprobará un cronograma de preparación que incluya depuración de base, informes, presupuesto, convocatoria, poderes, plataforma tecnológica, logística, escrutinio, acta y archivo.</w:t>
      </w:r>
    </w:p>
    <w:p>
      <w:pPr>
        <w:pStyle w:val="Heading2"/>
        <w:widowControl/>
        <w:spacing w:before="140" w:after="60"/>
      </w:pPr>
      <w:r>
        <w:t>Artículo 22. Convocatoria</w:t>
      </w:r>
    </w:p>
    <w:p>
      <w:pPr>
        <w:pStyle w:val="ArticleBody"/>
        <w:widowControl/>
        <w:jc w:val="both"/>
      </w:pPr>
      <w:r>
        <w:t>La convocatoria será escrita, expedida por el órgano o persona competente, con la anticipación estatutaria, e indicará naturaleza de la reunión, fecha, hora, lugar o medio, orden del día, reglas de acceso, poderes y documentos anexos.</w:t>
      </w:r>
    </w:p>
    <w:p>
      <w:pPr>
        <w:pStyle w:val="ArticleBody"/>
        <w:widowControl/>
        <w:jc w:val="both"/>
      </w:pPr>
      <w:r>
        <w:t>En reuniones extraordinarias solo podrán decidirse los temas incluidos en el orden del día, salvo disposición legal o estatutaria expresa.</w:t>
      </w:r>
    </w:p>
    <w:p>
      <w:pPr>
        <w:pStyle w:val="Heading2"/>
        <w:widowControl/>
        <w:spacing w:before="140" w:after="60"/>
      </w:pPr>
      <w:r>
        <w:t>Artículo 23. Poderes</w:t>
      </w:r>
    </w:p>
    <w:p>
      <w:pPr>
        <w:pStyle w:val="ArticleBody"/>
        <w:widowControl/>
        <w:jc w:val="both"/>
      </w:pPr>
      <w:r>
        <w:t>Los poderes deberán identificar poderdante, apoderado, reunión, fecha y alcance; contener firma verificable; ser recibidos dentro del plazo definido; y respetar el límite estatutario. Se llevará una matriz de validación y se rechazarán duplicados, incompletos o de personas no habilitadas.</w:t>
      </w:r>
    </w:p>
    <w:p>
      <w:pPr>
        <w:pStyle w:val="Heading2"/>
        <w:widowControl/>
        <w:spacing w:before="140" w:after="60"/>
      </w:pPr>
      <w:r>
        <w:t>Artículo 24. Registro y quórum</w:t>
      </w:r>
    </w:p>
    <w:p>
      <w:pPr>
        <w:pStyle w:val="ArticleBody"/>
        <w:widowControl/>
        <w:jc w:val="both"/>
      </w:pPr>
      <w:r>
        <w:t>Antes de instalar la Asamblea, el secretario y la comisión designada verificarán: total de asociados activos, total de hábiles, presentes, conectados, poderes válidos, duplicidades y quórum requerido para cada asunto.</w:t>
      </w:r>
    </w:p>
    <w:p>
      <w:pPr>
        <w:pStyle w:val="ArticleBody"/>
        <w:widowControl/>
        <w:jc w:val="both"/>
      </w:pPr>
      <w:r>
        <w:t>El acta registrará la hora exacta de cada verificación y cualquier variación del quórum durante la reunión.</w:t>
      </w:r>
    </w:p>
    <w:p>
      <w:pPr>
        <w:pStyle w:val="Heading2"/>
        <w:widowControl/>
        <w:spacing w:before="140" w:after="60"/>
      </w:pPr>
      <w:r>
        <w:t>Artículo 25. Votaciones</w:t>
      </w:r>
    </w:p>
    <w:p>
      <w:pPr>
        <w:pStyle w:val="ArticleBody"/>
        <w:widowControl/>
        <w:jc w:val="both"/>
      </w:pPr>
      <w:r>
        <w:t>Cada propuesta se formulará de manera clara y separada. Se registrarán votos a favor, en contra, en blanco, anulados y abstenciones cuando proceda. En votación electrónica deberá conservarse reporte auditable y evitarse el voto duplicado.</w:t>
      </w:r>
    </w:p>
    <w:p>
      <w:pPr>
        <w:pStyle w:val="Heading2"/>
        <w:widowControl/>
        <w:spacing w:before="140" w:after="60"/>
      </w:pPr>
      <w:r>
        <w:t>Artículo 26. Mayorías especiales</w:t>
      </w:r>
    </w:p>
    <w:p>
      <w:pPr>
        <w:pStyle w:val="ArticleBody"/>
        <w:widowControl/>
        <w:jc w:val="both"/>
      </w:pPr>
      <w:r>
        <w:t>Las decisiones sobre reforma de estatutos, cuotas extraordinarias, exclusión, disolución u otras materias calificadas deberán aplicar estrictamente la mayoría y el quórum previstos en la ley y los estatutos. El reglamento no podrá reducirlos.</w:t>
      </w:r>
    </w:p>
    <w:p>
      <w:pPr>
        <w:pStyle w:val="Heading2"/>
        <w:widowControl/>
        <w:spacing w:before="140" w:after="60"/>
      </w:pPr>
      <w:r>
        <w:t>Artículo 27. Acta de Asamblea</w:t>
      </w:r>
    </w:p>
    <w:p>
      <w:pPr>
        <w:pStyle w:val="ArticleBody"/>
        <w:widowControl/>
        <w:jc w:val="both"/>
      </w:pPr>
      <w:r>
        <w:t>El acta contendrá fecha, hora, lugar o medio, convocatoria, asistentes y representados, quórum, dignatarios, orden del día, síntesis de deliberaciones, propuestas, resultados numéricos, decisiones, constancias, anexos, hora de cierre y firmas.</w:t>
      </w:r>
    </w:p>
    <w:p>
      <w:pPr>
        <w:pStyle w:val="Heading1"/>
        <w:spacing w:before="240" w:after="140"/>
        <w:ind w:left="115"/>
        <w:jc w:val="left"/>
        <w:pageBreakBefore/>
        <w:widowControl/>
        <w:pBdr>
          <w:bottom w:val="single" w:sz="8" w:color="1F4E79" w:space="3"/>
        </w:pBdr>
        <w:pBdr>
          <w:bottom w:val="single" w:sz="10" w:space="3" w:color="1F4E79"/>
        </w:pBdr>
        <w:shd w:fill="F4F7FA"/>
      </w:pPr>
      <w:r>
        <w:t>Capítulo Vi. Junta Directiva</w:t>
      </w:r>
    </w:p>
    <w:p>
      <w:pPr>
        <w:pStyle w:val="Heading2"/>
        <w:widowControl/>
        <w:spacing w:before="140" w:after="60"/>
      </w:pPr>
      <w:r>
        <w:t>Artículo 28. Integración y carácter</w:t>
      </w:r>
    </w:p>
    <w:p>
      <w:pPr>
        <w:pStyle w:val="ArticleBody"/>
        <w:widowControl/>
        <w:jc w:val="both"/>
      </w:pPr>
      <w:r>
        <w:t>La Junta estará integrada conforme a los estatutos vigentes. Los cargos son ad honorem, sin perjuicio del reembolso de gastos autorizados y soportados.</w:t>
      </w:r>
    </w:p>
    <w:p>
      <w:pPr>
        <w:pStyle w:val="Heading2"/>
        <w:widowControl/>
        <w:spacing w:before="140" w:after="60"/>
      </w:pPr>
      <w:r>
        <w:t>Artículo 29. Instalación y distribución de cargos</w:t>
      </w:r>
    </w:p>
    <w:p>
      <w:pPr>
        <w:pStyle w:val="ArticleBody"/>
        <w:widowControl/>
        <w:jc w:val="both"/>
      </w:pPr>
      <w:r>
        <w:t>La Asamblea elige a los miembros de Junta y la propia Junta distribuye los cargos internos en reunión posterior. El acta identificará postulaciones, aceptación, votos y período. Los cambios sujetos a registro se presentarán oportunamente ante la Cámara de Comercio.</w:t>
      </w:r>
    </w:p>
    <w:p>
      <w:pPr>
        <w:pStyle w:val="Heading2"/>
        <w:widowControl/>
        <w:spacing w:before="140" w:after="60"/>
      </w:pPr>
      <w:r>
        <w:t>Artículo 30. Inducción</w:t>
      </w:r>
    </w:p>
    <w:p>
      <w:pPr>
        <w:pStyle w:val="ArticleBody"/>
        <w:widowControl/>
        <w:jc w:val="both"/>
      </w:pPr>
      <w:r>
        <w:t>Cada nuevo miembro recibirá estatutos, reglamento, certificado vigente, actas relevantes, presupuesto, estados financieros, contratos, inventarios, matriz de riesgos, políticas, accesos y explicación de responsabilidades.</w:t>
      </w:r>
    </w:p>
    <w:p>
      <w:pPr>
        <w:pStyle w:val="Heading2"/>
        <w:widowControl/>
        <w:spacing w:before="140" w:after="60"/>
      </w:pPr>
      <w:r>
        <w:t>Artículo 31. Reuniones ordinarias y extraordinarias</w:t>
      </w:r>
    </w:p>
    <w:p>
      <w:pPr>
        <w:pStyle w:val="ArticleBody"/>
        <w:widowControl/>
        <w:jc w:val="both"/>
      </w:pPr>
      <w:r>
        <w:t>La Junta se reunirá con la periodicidad estatutaria. Las extraordinarias podrán convocarse por quienes estén facultados y se limitarán a los asuntos urgentes indicados.</w:t>
      </w:r>
    </w:p>
    <w:p>
      <w:pPr>
        <w:pStyle w:val="Heading2"/>
        <w:widowControl/>
        <w:spacing w:before="140" w:after="60"/>
      </w:pPr>
      <w:r>
        <w:t>Artículo 32. Convocatoria de Junta</w:t>
      </w:r>
    </w:p>
    <w:p>
      <w:pPr>
        <w:pStyle w:val="ArticleBody"/>
        <w:widowControl/>
        <w:jc w:val="both"/>
      </w:pPr>
      <w:r>
        <w:t>La convocatoria se enviará por correo o medio verificable con orden del día, documentos de soporte y propuestas de decisión. Los asuntos sin documentación suficiente podrán aplazarse.</w:t>
      </w:r>
    </w:p>
    <w:p>
      <w:pPr>
        <w:pStyle w:val="Heading2"/>
        <w:widowControl/>
        <w:spacing w:before="140" w:after="60"/>
      </w:pPr>
      <w:r>
        <w:t>Artículo 33. Quórum y mayorías de Junta</w:t>
      </w:r>
    </w:p>
    <w:p>
      <w:pPr>
        <w:pStyle w:val="ArticleBody"/>
        <w:widowControl/>
        <w:jc w:val="both"/>
      </w:pPr>
      <w:r>
        <w:t>La Junta sesionará y decidirá con el quórum y mayoría estatutarios. El secretario verificará al inicio y antes de cada votación cuando se produzcan retiros o ingresos.</w:t>
      </w:r>
    </w:p>
    <w:p>
      <w:pPr>
        <w:pStyle w:val="Heading2"/>
        <w:widowControl/>
        <w:spacing w:before="140" w:after="60"/>
      </w:pPr>
      <w:r>
        <w:t>Artículo 34. Invitados</w:t>
      </w:r>
    </w:p>
    <w:p>
      <w:pPr>
        <w:pStyle w:val="ArticleBody"/>
        <w:widowControl/>
        <w:jc w:val="both"/>
      </w:pPr>
      <w:r>
        <w:t>Los invitados participarán con voz y sin voto, únicamente en el asunto para el cual fueron convocados, y deberán guardar reserva. Su asistencia no altera el quórum.</w:t>
      </w:r>
    </w:p>
    <w:p>
      <w:pPr>
        <w:pStyle w:val="Heading2"/>
        <w:widowControl/>
        <w:spacing w:before="140" w:after="60"/>
      </w:pPr>
      <w:r>
        <w:t>Artículo 35. Seguimiento de compromisos</w:t>
      </w:r>
    </w:p>
    <w:p>
      <w:pPr>
        <w:pStyle w:val="ArticleBody"/>
        <w:widowControl/>
        <w:jc w:val="both"/>
      </w:pPr>
      <w:r>
        <w:t>Cada acta incluirá una matriz de compromisos con actividad, responsable, plazo, estado y evidencia. La secretaría la actualizará antes de la siguiente reunión.</w:t>
      </w:r>
    </w:p>
    <w:p>
      <w:pPr>
        <w:pStyle w:val="Heading1"/>
        <w:spacing w:before="240" w:after="140"/>
        <w:ind w:left="115"/>
        <w:jc w:val="left"/>
        <w:pageBreakBefore/>
        <w:widowControl/>
        <w:pBdr>
          <w:bottom w:val="single" w:sz="8" w:color="1F4E79" w:space="3"/>
        </w:pBdr>
        <w:pBdr>
          <w:bottom w:val="single" w:sz="10" w:space="3" w:color="1F4E79"/>
        </w:pBdr>
        <w:shd w:fill="F4F7FA"/>
      </w:pPr>
      <w:r>
        <w:t>Capítulo Vii. Funciones De Los Cargos</w:t>
      </w:r>
    </w:p>
    <w:p>
      <w:pPr>
        <w:pStyle w:val="Heading2"/>
        <w:widowControl/>
        <w:spacing w:before="140" w:after="60"/>
      </w:pPr>
      <w:r>
        <w:t>Artículo 36. Presidente</w:t>
      </w:r>
    </w:p>
    <w:p>
      <w:pPr>
        <w:pStyle w:val="ArticleBody"/>
        <w:widowControl/>
        <w:ind w:left="317" w:hanging="216"/>
        <w:jc w:val="both"/>
      </w:pPr>
      <w:r>
        <w:t>Ejercer la representación legal en los términos estatutarios.</w:t>
      </w:r>
    </w:p>
    <w:p>
      <w:pPr>
        <w:pStyle w:val="ArticleBody"/>
        <w:widowControl/>
        <w:ind w:left="317" w:hanging="216"/>
        <w:jc w:val="both"/>
      </w:pPr>
      <w:r>
        <w:t>Convocar y moderar reuniones cuando corresponda.</w:t>
      </w:r>
    </w:p>
    <w:p>
      <w:pPr>
        <w:pStyle w:val="ArticleBody"/>
        <w:widowControl/>
        <w:ind w:left="317" w:hanging="216"/>
        <w:jc w:val="both"/>
      </w:pPr>
      <w:r>
        <w:t>Suscribir documentos y contratos válidamente aprobados.</w:t>
      </w:r>
    </w:p>
    <w:p>
      <w:pPr>
        <w:pStyle w:val="ArticleBody"/>
        <w:widowControl/>
        <w:ind w:left="317" w:hanging="216"/>
        <w:jc w:val="both"/>
      </w:pPr>
      <w:r>
        <w:t>Velar por el cumplimiento de decisiones, obligaciones legales y tributarias.</w:t>
      </w:r>
    </w:p>
    <w:p>
      <w:pPr>
        <w:pStyle w:val="ArticleBody"/>
        <w:widowControl/>
        <w:ind w:left="317" w:hanging="216"/>
        <w:jc w:val="both"/>
      </w:pPr>
      <w:r>
        <w:t>Coordinar el plan de trabajo y rendir informes.</w:t>
      </w:r>
    </w:p>
    <w:p>
      <w:pPr>
        <w:pStyle w:val="ArticleBody"/>
        <w:widowControl/>
        <w:ind w:left="317" w:hanging="216"/>
        <w:jc w:val="both"/>
      </w:pPr>
      <w:r>
        <w:t>Abstenerse de comprometer a ASOPADRES sin aprobación cuando esta sea requerida.</w:t>
      </w:r>
    </w:p>
    <w:p>
      <w:pPr>
        <w:pStyle w:val="Heading2"/>
        <w:widowControl/>
        <w:spacing w:before="140" w:after="60"/>
      </w:pPr>
      <w:r>
        <w:t>Artículo 37. Vicepresidente</w:t>
      </w:r>
    </w:p>
    <w:p>
      <w:pPr>
        <w:pStyle w:val="ArticleBody"/>
        <w:widowControl/>
        <w:ind w:left="317" w:hanging="216"/>
        <w:jc w:val="both"/>
      </w:pPr>
      <w:r>
        <w:t>Reemplazar al presidente en ausencias temporales o definitivas conforme a los estatutos.</w:t>
      </w:r>
    </w:p>
    <w:p>
      <w:pPr>
        <w:pStyle w:val="ArticleBody"/>
        <w:widowControl/>
        <w:ind w:left="317" w:hanging="216"/>
        <w:jc w:val="both"/>
      </w:pPr>
      <w:r>
        <w:t>Avalar los informes que estatutariamente lo requieran.</w:t>
      </w:r>
    </w:p>
    <w:p>
      <w:pPr>
        <w:pStyle w:val="ArticleBody"/>
        <w:widowControl/>
        <w:ind w:left="317" w:hanging="216"/>
        <w:jc w:val="both"/>
      </w:pPr>
      <w:r>
        <w:t>Apoyar el seguimiento de acuerdos y riesgos.</w:t>
      </w:r>
    </w:p>
    <w:p>
      <w:pPr>
        <w:pStyle w:val="ArticleBody"/>
        <w:widowControl/>
        <w:ind w:left="317" w:hanging="216"/>
        <w:jc w:val="both"/>
      </w:pPr>
      <w:r>
        <w:t>Asumir encargos expresos de la Junta sin desplazar competencias de otros cargos.</w:t>
      </w:r>
    </w:p>
    <w:p>
      <w:pPr>
        <w:pStyle w:val="Heading2"/>
        <w:widowControl/>
        <w:spacing w:before="140" w:after="60"/>
      </w:pPr>
      <w:r>
        <w:t>Artículo 38. Tesorero</w:t>
      </w:r>
    </w:p>
    <w:p>
      <w:pPr>
        <w:pStyle w:val="ArticleBody"/>
        <w:widowControl/>
        <w:ind w:left="317" w:hanging="216"/>
        <w:jc w:val="both"/>
      </w:pPr>
      <w:r>
        <w:t>Custodiar y controlar los recursos, sin manejo personal de efectivo salvo caja menor autorizada.</w:t>
      </w:r>
    </w:p>
    <w:p>
      <w:pPr>
        <w:pStyle w:val="ArticleBody"/>
        <w:widowControl/>
        <w:ind w:left="317" w:hanging="216"/>
        <w:jc w:val="both"/>
      </w:pPr>
      <w:r>
        <w:t>Preparar presupuesto, flujo de caja e informes de ejecución.</w:t>
      </w:r>
    </w:p>
    <w:p>
      <w:pPr>
        <w:pStyle w:val="ArticleBody"/>
        <w:widowControl/>
        <w:ind w:left="317" w:hanging="216"/>
        <w:jc w:val="both"/>
      </w:pPr>
      <w:r>
        <w:t>Verificar soportes, autorizaciones, disponibilidad y beneficiarios antes del pago.</w:t>
      </w:r>
    </w:p>
    <w:p>
      <w:pPr>
        <w:pStyle w:val="ArticleBody"/>
        <w:widowControl/>
        <w:ind w:left="317" w:hanging="216"/>
        <w:jc w:val="both"/>
      </w:pPr>
      <w:r>
        <w:t>Realizar conciliaciones con el contador y presentar alertas.</w:t>
      </w:r>
    </w:p>
    <w:p>
      <w:pPr>
        <w:pStyle w:val="ArticleBody"/>
        <w:widowControl/>
        <w:ind w:left="317" w:hanging="216"/>
        <w:jc w:val="both"/>
      </w:pPr>
      <w:r>
        <w:t>Mantener inventario financiero, bancario y de inversiones.</w:t>
      </w:r>
    </w:p>
    <w:p>
      <w:pPr>
        <w:pStyle w:val="Heading2"/>
        <w:widowControl/>
        <w:spacing w:before="140" w:after="60"/>
      </w:pPr>
      <w:r>
        <w:t>Artículo 39. Secretario</w:t>
      </w:r>
    </w:p>
    <w:p>
      <w:pPr>
        <w:pStyle w:val="ArticleBody"/>
        <w:widowControl/>
        <w:ind w:left="317" w:hanging="216"/>
        <w:jc w:val="both"/>
      </w:pPr>
      <w:r>
        <w:t>Preparar convocatorias y órdenes del día.</w:t>
      </w:r>
    </w:p>
    <w:p>
      <w:pPr>
        <w:pStyle w:val="ArticleBody"/>
        <w:widowControl/>
        <w:ind w:left="317" w:hanging="216"/>
        <w:jc w:val="both"/>
      </w:pPr>
      <w:r>
        <w:t>Verificar asistentes, quórum y resultados.</w:t>
      </w:r>
    </w:p>
    <w:p>
      <w:pPr>
        <w:pStyle w:val="ArticleBody"/>
        <w:widowControl/>
        <w:ind w:left="317" w:hanging="216"/>
        <w:jc w:val="both"/>
      </w:pPr>
      <w:r>
        <w:t>Elaborar, numerar, gestionar aprobación, firma y archivo de actas.</w:t>
      </w:r>
    </w:p>
    <w:p>
      <w:pPr>
        <w:pStyle w:val="ArticleBody"/>
        <w:widowControl/>
        <w:ind w:left="317" w:hanging="216"/>
        <w:jc w:val="both"/>
      </w:pPr>
      <w:r>
        <w:t>Custodiar libros y correspondencia.</w:t>
      </w:r>
    </w:p>
    <w:p>
      <w:pPr>
        <w:pStyle w:val="ArticleBody"/>
        <w:widowControl/>
        <w:ind w:left="317" w:hanging="216"/>
        <w:jc w:val="both"/>
      </w:pPr>
      <w:r>
        <w:t>Expedir certificaciones dentro de su competencia.</w:t>
      </w:r>
    </w:p>
    <w:p>
      <w:pPr>
        <w:pStyle w:val="ArticleBody"/>
        <w:widowControl/>
        <w:ind w:left="317" w:hanging="216"/>
        <w:jc w:val="both"/>
      </w:pPr>
      <w:r>
        <w:t>Administrar la matriz de compromisos y control de versiones.</w:t>
      </w:r>
    </w:p>
    <w:p>
      <w:pPr>
        <w:pStyle w:val="Heading2"/>
        <w:widowControl/>
        <w:spacing w:before="140" w:after="60"/>
      </w:pPr>
      <w:r>
        <w:t>Artículo 40. Vocales</w:t>
      </w:r>
    </w:p>
    <w:p>
      <w:pPr>
        <w:pStyle w:val="ArticleBody"/>
        <w:widowControl/>
        <w:jc w:val="both"/>
      </w:pPr>
      <w:r>
        <w:t>Los vocales participarán en deliberaciones, asumirán proyectos y comités, apoyarán el control de ejecución y ejercerán las demás funciones asignadas válidamente, sin concentrar funciones incompatibles.</w:t>
      </w:r>
    </w:p>
    <w:p>
      <w:pPr>
        <w:pStyle w:val="Heading2"/>
        <w:widowControl/>
        <w:spacing w:before="140" w:after="60"/>
      </w:pPr>
      <w:r>
        <w:t>Artículo 41. Deberes comunes de directivos</w:t>
      </w:r>
    </w:p>
    <w:p>
      <w:pPr>
        <w:pStyle w:val="ArticleBody"/>
        <w:widowControl/>
        <w:ind w:left="317" w:hanging="216"/>
        <w:jc w:val="both"/>
      </w:pPr>
      <w:r>
        <w:t>Asistir y prepararse para las reuniones.</w:t>
      </w:r>
    </w:p>
    <w:p>
      <w:pPr>
        <w:pStyle w:val="ArticleBody"/>
        <w:widowControl/>
        <w:ind w:left="317" w:hanging="216"/>
        <w:jc w:val="both"/>
      </w:pPr>
      <w:r>
        <w:t>Declarar conflictos de interés.</w:t>
      </w:r>
    </w:p>
    <w:p>
      <w:pPr>
        <w:pStyle w:val="ArticleBody"/>
        <w:widowControl/>
        <w:ind w:left="317" w:hanging="216"/>
        <w:jc w:val="both"/>
      </w:pPr>
      <w:r>
        <w:t>Guardar reserva.</w:t>
      </w:r>
    </w:p>
    <w:p>
      <w:pPr>
        <w:pStyle w:val="ArticleBody"/>
        <w:widowControl/>
        <w:ind w:left="317" w:hanging="216"/>
        <w:jc w:val="both"/>
      </w:pPr>
      <w:r>
        <w:t>Custodiar activos, claves y documentos.</w:t>
      </w:r>
    </w:p>
    <w:p>
      <w:pPr>
        <w:pStyle w:val="ArticleBody"/>
        <w:widowControl/>
        <w:ind w:left="317" w:hanging="216"/>
        <w:jc w:val="both"/>
      </w:pPr>
      <w:r>
        <w:t>Entregar información al finalizar el cargo.</w:t>
      </w:r>
    </w:p>
    <w:p>
      <w:pPr>
        <w:pStyle w:val="ArticleBody"/>
        <w:widowControl/>
        <w:ind w:left="317" w:hanging="216"/>
        <w:jc w:val="both"/>
      </w:pPr>
      <w:r>
        <w:t>Responder oportunamente por tareas asignadas.</w:t>
      </w:r>
    </w:p>
    <w:p>
      <w:pPr>
        <w:pStyle w:val="ArticleBody"/>
        <w:widowControl/>
        <w:ind w:left="317" w:hanging="216"/>
        <w:jc w:val="both"/>
      </w:pPr>
      <w:r>
        <w:t>No presentarse como vocero sin autorización.</w:t>
      </w:r>
    </w:p>
    <w:p>
      <w:pPr>
        <w:pStyle w:val="Heading1"/>
        <w:spacing w:before="240" w:after="140"/>
        <w:ind w:left="115"/>
        <w:jc w:val="left"/>
        <w:pageBreakBefore/>
        <w:widowControl/>
        <w:pBdr>
          <w:bottom w:val="single" w:sz="8" w:color="1F4E79" w:space="3"/>
        </w:pBdr>
        <w:pBdr>
          <w:bottom w:val="single" w:sz="10" w:space="3" w:color="1F4E79"/>
        </w:pBdr>
        <w:shd w:fill="F4F7FA"/>
      </w:pPr>
      <w:r>
        <w:t>Capítulo Viii. Fiscal Y Control Interno</w:t>
      </w:r>
    </w:p>
    <w:p>
      <w:pPr>
        <w:pStyle w:val="Heading2"/>
        <w:widowControl/>
        <w:spacing w:before="140" w:after="60"/>
      </w:pPr>
      <w:r>
        <w:t>Artículo 42. Independencia del fiscal</w:t>
      </w:r>
    </w:p>
    <w:p>
      <w:pPr>
        <w:pStyle w:val="ArticleBody"/>
        <w:widowControl/>
        <w:jc w:val="both"/>
      </w:pPr>
      <w:r>
        <w:t>El fiscal es elegido por la Asamblea y ejerce vigilancia independiente. No integra la administración ordinaria ni autoriza previamente todas las operaciones que luego debe examinar.</w:t>
      </w:r>
    </w:p>
    <w:p>
      <w:pPr>
        <w:pStyle w:val="Heading2"/>
        <w:widowControl/>
        <w:spacing w:before="140" w:after="60"/>
      </w:pPr>
      <w:r>
        <w:t>Artículo 43. Facultades de control</w:t>
      </w:r>
    </w:p>
    <w:p>
      <w:pPr>
        <w:pStyle w:val="ArticleBody"/>
        <w:widowControl/>
        <w:ind w:left="317" w:hanging="216"/>
        <w:jc w:val="both"/>
      </w:pPr>
      <w:r>
        <w:t>Solicitar libros, extractos, contratos, actas y soportes.</w:t>
      </w:r>
    </w:p>
    <w:p>
      <w:pPr>
        <w:pStyle w:val="ArticleBody"/>
        <w:widowControl/>
        <w:ind w:left="317" w:hanging="216"/>
        <w:jc w:val="both"/>
      </w:pPr>
      <w:r>
        <w:t>Verificar cumplimiento legal, estatutario, presupuestal y procedimental.</w:t>
      </w:r>
    </w:p>
    <w:p>
      <w:pPr>
        <w:pStyle w:val="ArticleBody"/>
        <w:widowControl/>
        <w:ind w:left="317" w:hanging="216"/>
        <w:jc w:val="both"/>
      </w:pPr>
      <w:r>
        <w:t>Presentar recomendaciones y alertas por escrito.</w:t>
      </w:r>
    </w:p>
    <w:p>
      <w:pPr>
        <w:pStyle w:val="ArticleBody"/>
        <w:widowControl/>
        <w:ind w:left="317" w:hanging="216"/>
        <w:jc w:val="both"/>
      </w:pPr>
      <w:r>
        <w:t>Solicitar convocatoria extraordinaria cuando proceda.</w:t>
      </w:r>
    </w:p>
    <w:p>
      <w:pPr>
        <w:pStyle w:val="ArticleBody"/>
        <w:widowControl/>
        <w:ind w:left="317" w:hanging="216"/>
        <w:jc w:val="both"/>
      </w:pPr>
      <w:r>
        <w:t>Rendir informe independiente a la Asamblea.</w:t>
      </w:r>
    </w:p>
    <w:p>
      <w:pPr>
        <w:pStyle w:val="Heading2"/>
        <w:widowControl/>
        <w:spacing w:before="140" w:after="60"/>
      </w:pPr>
      <w:r>
        <w:t>Artículo 44. Plan de control</w:t>
      </w:r>
    </w:p>
    <w:p>
      <w:pPr>
        <w:pStyle w:val="ArticleBody"/>
        <w:widowControl/>
        <w:jc w:val="both"/>
      </w:pPr>
      <w:r>
        <w:t>Al inicio del período, el fiscal elaborará un plan de revisión basado en riesgos, incluyendo bancos, caja, compras, contratos, inventarios, aportes, proyectos, datos personales y obligaciones legales.</w:t>
      </w:r>
    </w:p>
    <w:p>
      <w:pPr>
        <w:pStyle w:val="Heading2"/>
        <w:widowControl/>
        <w:spacing w:before="140" w:after="60"/>
      </w:pPr>
      <w:r>
        <w:t>Artículo 45. Respuesta a observaciones</w:t>
      </w:r>
    </w:p>
    <w:p>
      <w:pPr>
        <w:pStyle w:val="ArticleBody"/>
        <w:widowControl/>
        <w:jc w:val="both"/>
      </w:pPr>
      <w:r>
        <w:t>La Junta responderá por escrito las observaciones del fiscal, indicando aceptación, acciones, responsables y plazos, o razones de desacuerdo. Las diferencias relevantes se dejarán en acta.</w:t>
      </w:r>
    </w:p>
    <w:p>
      <w:pPr>
        <w:pStyle w:val="Heading1"/>
        <w:spacing w:before="240" w:after="140"/>
        <w:ind w:left="115"/>
        <w:jc w:val="left"/>
        <w:pageBreakBefore/>
        <w:widowControl/>
        <w:pBdr>
          <w:bottom w:val="single" w:sz="8" w:color="1F4E79" w:space="3"/>
        </w:pBdr>
        <w:pBdr>
          <w:bottom w:val="single" w:sz="10" w:space="3" w:color="1F4E79"/>
        </w:pBdr>
        <w:shd w:fill="F4F7FA"/>
      </w:pPr>
      <w:r>
        <w:t>Capítulo Ix. Reuniones, Decisiones Y Actas</w:t>
      </w:r>
    </w:p>
    <w:p>
      <w:pPr>
        <w:pStyle w:val="Heading2"/>
        <w:widowControl/>
        <w:spacing w:before="140" w:after="60"/>
      </w:pPr>
      <w:r>
        <w:t>Artículo 46. Modalidades de reunión</w:t>
      </w:r>
    </w:p>
    <w:p>
      <w:pPr>
        <w:pStyle w:val="ArticleBody"/>
        <w:widowControl/>
        <w:jc w:val="both"/>
      </w:pPr>
      <w:r>
        <w:t>Las reuniones podrán ser presenciales, no presenciales o mixtas cuando la ley y los estatutos lo permitan y se garantice identificación, participación, simultaneidad o sucesividad válida, quórum, votación y conservación de evidencia.</w:t>
      </w:r>
    </w:p>
    <w:p>
      <w:pPr>
        <w:pStyle w:val="Heading2"/>
        <w:widowControl/>
        <w:spacing w:before="140" w:after="60"/>
      </w:pPr>
      <w:r>
        <w:t>Artículo 47. Decisiones por mensajería instantánea</w:t>
      </w:r>
    </w:p>
    <w:p>
      <w:pPr>
        <w:pStyle w:val="ArticleBody"/>
        <w:widowControl/>
        <w:jc w:val="both"/>
      </w:pPr>
      <w:r>
        <w:t>WhatsApp u otros chats son medios de coordinación, no sustituyen las actas ni las reuniones. Solo habrá decisión válida cuando se cumplan los requisitos legales y estatutarios y quede documentada en el libro correspondiente.</w:t>
      </w:r>
    </w:p>
    <w:p>
      <w:pPr>
        <w:pStyle w:val="Heading2"/>
        <w:widowControl/>
        <w:spacing w:before="140" w:after="60"/>
      </w:pPr>
      <w:r>
        <w:t>Artículo 48. Contenido mínimo de actas de Junta</w:t>
      </w:r>
    </w:p>
    <w:p>
      <w:pPr>
        <w:pStyle w:val="ArticleBody"/>
        <w:widowControl/>
        <w:jc w:val="both"/>
      </w:pPr>
      <w:r>
        <w:t>Las actas incluirán convocatoria, asistentes, quórum, orden del día, documentos estudiados, síntesis, conflictos declarados, propuestas, votos, decisiones, responsables, plazos, anexos y firmas.</w:t>
      </w:r>
    </w:p>
    <w:p>
      <w:pPr>
        <w:pStyle w:val="Heading2"/>
        <w:widowControl/>
        <w:spacing w:before="140" w:after="60"/>
      </w:pPr>
      <w:r>
        <w:t>Artículo 49. Correcciones de actas</w:t>
      </w:r>
    </w:p>
    <w:p>
      <w:pPr>
        <w:pStyle w:val="ArticleBody"/>
        <w:widowControl/>
        <w:jc w:val="both"/>
      </w:pPr>
      <w:r>
        <w:t>Los errores puramente formales podrán corregirse mediante nota o acta aclaratoria conforme a la ley. No podrán incorporarse hechos, votos o decisiones que no ocurrieron, ni utilizarse una corrección para subsanar retroactivamente falta de quórum, competencia o mayoría.</w:t>
      </w:r>
    </w:p>
    <w:p>
      <w:pPr>
        <w:pStyle w:val="Heading2"/>
        <w:widowControl/>
        <w:spacing w:before="140" w:after="60"/>
      </w:pPr>
      <w:r>
        <w:t>Artículo 50. Conservación de evidencias</w:t>
      </w:r>
    </w:p>
    <w:p>
      <w:pPr>
        <w:pStyle w:val="ArticleBody"/>
        <w:widowControl/>
        <w:jc w:val="both"/>
      </w:pPr>
      <w:r>
        <w:t>Las grabaciones, reportes de plataforma, listas y documentos de soporte se conservarán como anexos cuando existan. La grabación no sustituye el acta.</w:t>
      </w:r>
    </w:p>
    <w:p>
      <w:pPr>
        <w:pStyle w:val="Heading1"/>
        <w:spacing w:before="240" w:after="140"/>
        <w:ind w:left="115"/>
        <w:jc w:val="left"/>
        <w:pageBreakBefore/>
        <w:widowControl/>
        <w:pBdr>
          <w:bottom w:val="single" w:sz="8" w:color="1F4E79" w:space="3"/>
        </w:pBdr>
        <w:pBdr>
          <w:bottom w:val="single" w:sz="10" w:space="3" w:color="1F4E79"/>
        </w:pBdr>
        <w:shd w:fill="F4F7FA"/>
      </w:pPr>
      <w:r>
        <w:t>Capítulo X. Planeación Y Presupuesto</w:t>
      </w:r>
    </w:p>
    <w:p>
      <w:pPr>
        <w:pStyle w:val="Heading2"/>
        <w:widowControl/>
        <w:spacing w:before="140" w:after="60"/>
      </w:pPr>
      <w:r>
        <w:t>Artículo 51. Plan anual de trabajo</w:t>
      </w:r>
    </w:p>
    <w:p>
      <w:pPr>
        <w:pStyle w:val="ArticleBody"/>
        <w:widowControl/>
        <w:jc w:val="both"/>
      </w:pPr>
      <w:r>
        <w:t>La Junta elaborará un plan anual alineado con el objeto social, con metas, indicadores, responsables, cronograma, riesgos, presupuesto y forma de articulación con el colegio.</w:t>
      </w:r>
    </w:p>
    <w:p>
      <w:pPr>
        <w:pStyle w:val="Heading2"/>
        <w:widowControl/>
        <w:spacing w:before="140" w:after="60"/>
      </w:pPr>
      <w:r>
        <w:t>Artículo 52. Presupuesto</w:t>
      </w:r>
    </w:p>
    <w:p>
      <w:pPr>
        <w:pStyle w:val="ArticleBody"/>
        <w:widowControl/>
        <w:jc w:val="both"/>
      </w:pPr>
      <w:r>
        <w:t>El presupuesto diferenciará ingresos ordinarios, extraordinarios, donaciones, ventas, rendimientos, gastos administrativos, proyectos, contingencias e inversiones. Será presentado y aprobado por el órgano competente.</w:t>
      </w:r>
    </w:p>
    <w:p>
      <w:pPr>
        <w:pStyle w:val="Heading2"/>
        <w:widowControl/>
        <w:spacing w:before="140" w:after="60"/>
      </w:pPr>
      <w:r>
        <w:t>Artículo 53. Modificaciones presupuestales</w:t>
      </w:r>
    </w:p>
    <w:p>
      <w:pPr>
        <w:pStyle w:val="ArticleBody"/>
        <w:widowControl/>
        <w:jc w:val="both"/>
      </w:pPr>
      <w:r>
        <w:t>Toda adición, traslado o reducción deberá justificarse, verificar disponibilidad y ser aprobada por el órgano competente. Se prohíbe ejecutar gastos sin rubro o exceder apropiaciones sin autorización.</w:t>
      </w:r>
    </w:p>
    <w:p>
      <w:pPr>
        <w:pStyle w:val="Heading2"/>
        <w:widowControl/>
        <w:spacing w:before="140" w:after="60"/>
      </w:pPr>
      <w:r>
        <w:t>Artículo 54. Seguimiento y rendición</w:t>
      </w:r>
    </w:p>
    <w:p>
      <w:pPr>
        <w:pStyle w:val="ArticleBody"/>
        <w:widowControl/>
        <w:jc w:val="both"/>
      </w:pPr>
      <w:r>
        <w:t>La tesorería presentará a la Junta informes periódicos de ejecución y, a la Asamblea, los informes estatutarios. Las variaciones relevantes incluirán explicación y acciones correctivas.</w:t>
      </w:r>
    </w:p>
    <w:p>
      <w:pPr>
        <w:pStyle w:val="Heading1"/>
        <w:spacing w:before="240" w:after="140"/>
        <w:ind w:left="115"/>
        <w:jc w:val="left"/>
        <w:pageBreakBefore/>
        <w:widowControl/>
        <w:pBdr>
          <w:bottom w:val="single" w:sz="8" w:color="1F4E79" w:space="3"/>
        </w:pBdr>
        <w:pBdr>
          <w:bottom w:val="single" w:sz="10" w:space="3" w:color="1F4E79"/>
        </w:pBdr>
        <w:shd w:fill="F4F7FA"/>
      </w:pPr>
      <w:r>
        <w:t>Capítulo Xi. Cuotas, Donaciones Y Recaudos</w:t>
      </w:r>
    </w:p>
    <w:p>
      <w:pPr>
        <w:pStyle w:val="Heading2"/>
        <w:widowControl/>
        <w:spacing w:before="140" w:after="60"/>
      </w:pPr>
      <w:r>
        <w:t>Artículo 55. Cuotas ordinarias</w:t>
      </w:r>
    </w:p>
    <w:p>
      <w:pPr>
        <w:pStyle w:val="ArticleBody"/>
        <w:widowControl/>
        <w:jc w:val="both"/>
      </w:pPr>
      <w:r>
        <w:t>Las cuotas ordinarias serán las aprobadas válidamente conforme a los estatutos y solo serán exigibles a los asociados en los términos de su afiliación. No podrán convertirse en requisito escolar.</w:t>
      </w:r>
    </w:p>
    <w:p>
      <w:pPr>
        <w:pStyle w:val="Heading2"/>
        <w:widowControl/>
        <w:spacing w:before="140" w:after="60"/>
      </w:pPr>
      <w:r>
        <w:t>Artículo 56. Cuotas extraordinarias</w:t>
      </w:r>
    </w:p>
    <w:p>
      <w:pPr>
        <w:pStyle w:val="ArticleBody"/>
        <w:widowControl/>
        <w:jc w:val="both"/>
      </w:pPr>
      <w:r>
        <w:t>Solo podrán aprobarse para destinación específica, con el plan y la mayoría exigidos por la normativa y los estatutos. La convocatoria deberá identificar claramente objeto, monto, plazo y uso.</w:t>
      </w:r>
    </w:p>
    <w:p>
      <w:pPr>
        <w:pStyle w:val="Heading2"/>
        <w:widowControl/>
        <w:spacing w:before="140" w:after="60"/>
      </w:pPr>
      <w:r>
        <w:t>Artículo 57. Donaciones</w:t>
      </w:r>
    </w:p>
    <w:p>
      <w:pPr>
        <w:pStyle w:val="ArticleBody"/>
        <w:widowControl/>
        <w:jc w:val="both"/>
      </w:pPr>
      <w:r>
        <w:t>Las donaciones serán libres, informadas, trazables y sin contraprestación obligatoria. Se expedirá soporte y se respetarán las condiciones lícitas del donante.</w:t>
      </w:r>
    </w:p>
    <w:p>
      <w:pPr>
        <w:pStyle w:val="Heading2"/>
        <w:widowControl/>
        <w:spacing w:before="140" w:after="60"/>
      </w:pPr>
      <w:r>
        <w:t>Artículo 58. Ventas y actividades de recaudo</w:t>
      </w:r>
    </w:p>
    <w:p>
      <w:pPr>
        <w:pStyle w:val="ArticleBody"/>
        <w:widowControl/>
        <w:jc w:val="both"/>
      </w:pPr>
      <w:r>
        <w:t>La compra de anuarios, uniformes, fotografías, artículos promocionales, entradas u otros productos será completamente voluntaria. Se informará precio, condiciones, proveedor, devoluciones y destinación de excedentes. Nadie podrá ser obligado a vender o comprar.</w:t>
      </w:r>
    </w:p>
    <w:p>
      <w:pPr>
        <w:pStyle w:val="Heading2"/>
        <w:widowControl/>
        <w:spacing w:before="140" w:after="60"/>
      </w:pPr>
      <w:r>
        <w:t>Artículo 59. Recaudo y medios de pago</w:t>
      </w:r>
    </w:p>
    <w:p>
      <w:pPr>
        <w:pStyle w:val="ArticleBody"/>
        <w:widowControl/>
        <w:jc w:val="both"/>
      </w:pPr>
      <w:r>
        <w:t>Los recaudos se efectuarán preferiblemente a cuentas o medios a nombre de ASOPADRES. Todo ingreso se identificará por concepto, tercero, fecha y soporte. El efectivo se minimizará y se consignará sin demora.</w:t>
      </w:r>
    </w:p>
    <w:p>
      <w:pPr>
        <w:pStyle w:val="Heading1"/>
        <w:spacing w:before="240" w:after="140"/>
        <w:ind w:left="115"/>
        <w:jc w:val="left"/>
        <w:pageBreakBefore/>
        <w:widowControl/>
        <w:pBdr>
          <w:bottom w:val="single" w:sz="8" w:color="1F4E79" w:space="3"/>
        </w:pBdr>
        <w:pBdr>
          <w:bottom w:val="single" w:sz="10" w:space="3" w:color="1F4E79"/>
        </w:pBdr>
        <w:shd w:fill="F4F7FA"/>
      </w:pPr>
      <w:r>
        <w:t>Capítulo Xii. Tesorería, Contabilidad Y Control Financiero</w:t>
      </w:r>
    </w:p>
    <w:p>
      <w:pPr>
        <w:pStyle w:val="Heading2"/>
        <w:widowControl/>
        <w:spacing w:before="140" w:after="60"/>
      </w:pPr>
      <w:r>
        <w:t>Artículo 60. Separación patrimonial</w:t>
      </w:r>
    </w:p>
    <w:p>
      <w:pPr>
        <w:pStyle w:val="ArticleBody"/>
        <w:widowControl/>
        <w:jc w:val="both"/>
      </w:pPr>
      <w:r>
        <w:t>Los recursos de ASOPADRES no se mezclarán con cuentas del colegio, directivos, asociados o terceros. Toda cuenta e inversión deberá estar a nombre de la Asociación.</w:t>
      </w:r>
    </w:p>
    <w:p>
      <w:pPr>
        <w:pStyle w:val="Heading2"/>
        <w:widowControl/>
        <w:spacing w:before="140" w:after="60"/>
      </w:pPr>
      <w:r>
        <w:t>Artículo 61. Pagos y firmas</w:t>
      </w:r>
    </w:p>
    <w:p>
      <w:pPr>
        <w:pStyle w:val="ArticleBody"/>
        <w:widowControl/>
        <w:jc w:val="both"/>
      </w:pPr>
      <w:r>
        <w:t>Los pagos requerirán aprobación, disponibilidad, soporte, verificación de cumplimiento y las firmas o autorizaciones conjuntas previstas en los estatutos y registros bancarios.</w:t>
      </w:r>
    </w:p>
    <w:p>
      <w:pPr>
        <w:pStyle w:val="Heading2"/>
        <w:widowControl/>
        <w:spacing w:before="140" w:after="60"/>
      </w:pPr>
      <w:r>
        <w:t>Artículo 62. Caja menor y anticipos</w:t>
      </w:r>
    </w:p>
    <w:p>
      <w:pPr>
        <w:pStyle w:val="ArticleBody"/>
        <w:widowControl/>
        <w:jc w:val="both"/>
      </w:pPr>
      <w:r>
        <w:t>La Junta podrá crear una caja menor con monto, responsable, conceptos permitidos, prohibiciones, legalización y arqueos. Los anticipos tendrán plazo de legalización y no se otorgarán nuevos anticipos a quien tenga saldos pendientes.</w:t>
      </w:r>
    </w:p>
    <w:p>
      <w:pPr>
        <w:pStyle w:val="Heading2"/>
        <w:widowControl/>
        <w:spacing w:before="140" w:after="60"/>
      </w:pPr>
      <w:r>
        <w:t>Artículo 63. Conciliaciones e informes</w:t>
      </w:r>
    </w:p>
    <w:p>
      <w:pPr>
        <w:pStyle w:val="ArticleBody"/>
        <w:widowControl/>
        <w:jc w:val="both"/>
      </w:pPr>
      <w:r>
        <w:t>Las cuentas bancarias se conciliarán mensualmente. Las partidas sin identificar, cheques pendientes, comisiones y diferencias serán investigadas y reportadas.</w:t>
      </w:r>
    </w:p>
    <w:p>
      <w:pPr>
        <w:pStyle w:val="Heading2"/>
        <w:widowControl/>
        <w:spacing w:before="140" w:after="60"/>
      </w:pPr>
      <w:r>
        <w:t>Artículo 64. Cierre contable y obligaciones</w:t>
      </w:r>
    </w:p>
    <w:p>
      <w:pPr>
        <w:pStyle w:val="ArticleBody"/>
        <w:widowControl/>
        <w:jc w:val="both"/>
      </w:pPr>
      <w:r>
        <w:t>El contador preparará estados financieros y obligaciones tributarias o informativas dentro de los plazos. La Junta suministrará información completa y aprobará los documentos que correspondan.</w:t>
      </w:r>
    </w:p>
    <w:p>
      <w:pPr>
        <w:pStyle w:val="Heading1"/>
        <w:spacing w:before="240" w:after="140"/>
        <w:ind w:left="115"/>
        <w:jc w:val="left"/>
        <w:pageBreakBefore/>
        <w:widowControl/>
        <w:pBdr>
          <w:bottom w:val="single" w:sz="8" w:color="1F4E79" w:space="3"/>
        </w:pBdr>
        <w:pBdr>
          <w:bottom w:val="single" w:sz="10" w:space="3" w:color="1F4E79"/>
        </w:pBdr>
        <w:shd w:fill="F4F7FA"/>
      </w:pPr>
      <w:r>
        <w:t>Capítulo Xiii. Compras Y Contratación</w:t>
      </w:r>
    </w:p>
    <w:p>
      <w:pPr>
        <w:pStyle w:val="Heading2"/>
        <w:widowControl/>
        <w:spacing w:before="140" w:after="60"/>
      </w:pPr>
      <w:r>
        <w:t>Artículo 65. Principios de contratación</w:t>
      </w:r>
    </w:p>
    <w:p>
      <w:pPr>
        <w:pStyle w:val="ArticleBody"/>
        <w:widowControl/>
        <w:jc w:val="both"/>
      </w:pPr>
      <w:r>
        <w:t>Las compras y contratos observarán necesidad, relación con el objeto, selección objetiva, economía, calidad, transparencia, prevención de conflictos y conservación de soportes.</w:t>
      </w:r>
    </w:p>
    <w:p>
      <w:pPr>
        <w:pStyle w:val="Heading2"/>
        <w:widowControl/>
        <w:spacing w:before="140" w:after="60"/>
      </w:pPr>
      <w:r>
        <w:t>Artículo 66. Solicitud y cotizaciones</w:t>
      </w:r>
    </w:p>
    <w:p>
      <w:pPr>
        <w:pStyle w:val="ArticleBody"/>
        <w:widowControl/>
        <w:jc w:val="both"/>
      </w:pPr>
      <w:r>
        <w:t>Toda compra tendrá solicitud con necesidad, especificaciones, presupuesto, responsable y plazo. Como regla se obtendrán al menos tres cotizaciones comparables, salvo proveedor único, urgencia real, continuidad técnica o cuantía menor, circunstancias que deberán motivarse por escrito.</w:t>
      </w:r>
    </w:p>
    <w:p>
      <w:pPr>
        <w:pStyle w:val="Heading2"/>
        <w:widowControl/>
        <w:spacing w:before="140" w:after="60"/>
      </w:pPr>
      <w:r>
        <w:t>Artículo 67. Evaluación y aprobación</w:t>
      </w:r>
    </w:p>
    <w:p>
      <w:pPr>
        <w:pStyle w:val="ArticleBody"/>
        <w:widowControl/>
        <w:jc w:val="both"/>
      </w:pPr>
      <w:r>
        <w:t>La selección se documentará mediante cuadro comparativo que considere precio, calidad, garantía, experiencia, plazo, impuestos, mantenimiento y riesgos. El menor precio no será el único criterio.</w:t>
      </w:r>
    </w:p>
    <w:p>
      <w:pPr>
        <w:pStyle w:val="Heading2"/>
        <w:widowControl/>
        <w:spacing w:before="140" w:after="60"/>
      </w:pPr>
      <w:r>
        <w:t>Artículo 68. Inhabilidades contractuales</w:t>
      </w:r>
    </w:p>
    <w:p>
      <w:pPr>
        <w:pStyle w:val="ArticleBody"/>
        <w:widowControl/>
        <w:jc w:val="both"/>
      </w:pPr>
      <w:r>
        <w:t>Antes de contratar se verificará que el proveedor no esté comprendido en prohibiciones legales o estatutarias, incluyendo las relacionadas con miembros de Junta y familiares. Cuando exista prohibición, la abstención no sanea el contrato: no podrá celebrarse.</w:t>
      </w:r>
    </w:p>
    <w:p>
      <w:pPr>
        <w:pStyle w:val="Heading2"/>
        <w:widowControl/>
        <w:spacing w:before="140" w:after="60"/>
      </w:pPr>
      <w:r>
        <w:t>Artículo 69. Formalización y supervisión</w:t>
      </w:r>
    </w:p>
    <w:p>
      <w:pPr>
        <w:pStyle w:val="ArticleBody"/>
        <w:widowControl/>
        <w:jc w:val="both"/>
      </w:pPr>
      <w:r>
        <w:t>Los contratos u órdenes definirán objeto, valor, plazo, obligaciones, entregables, pagos, garantías, datos personales, propiedad intelectual, terminación y solución de controversias. Se designará supervisor distinto del proveedor.</w:t>
      </w:r>
    </w:p>
    <w:p>
      <w:pPr>
        <w:pStyle w:val="Heading2"/>
        <w:widowControl/>
        <w:spacing w:before="140" w:after="60"/>
      </w:pPr>
      <w:r>
        <w:t>Artículo 70. Prohibición de fraccionamiento y aprobación retroactiva</w:t>
      </w:r>
    </w:p>
    <w:p>
      <w:pPr>
        <w:pStyle w:val="ArticleBody"/>
        <w:widowControl/>
        <w:jc w:val="both"/>
      </w:pPr>
      <w:r>
        <w:t>No se dividirán compras para eludir controles ni se aprobarán gastos después de ejecutados, salvo emergencia comprobada que proteja personas o bienes y sea ratificada con soporte completo.</w:t>
      </w:r>
    </w:p>
    <w:p>
      <w:pPr>
        <w:pStyle w:val="Heading1"/>
        <w:spacing w:before="240" w:after="140"/>
        <w:ind w:left="115"/>
        <w:jc w:val="left"/>
        <w:pageBreakBefore/>
        <w:widowControl/>
        <w:pBdr>
          <w:bottom w:val="single" w:sz="8" w:color="1F4E79" w:space="3"/>
        </w:pBdr>
        <w:pBdr>
          <w:bottom w:val="single" w:sz="10" w:space="3" w:color="1F4E79"/>
        </w:pBdr>
        <w:shd w:fill="F4F7FA"/>
      </w:pPr>
      <w:r>
        <w:t>Capítulo Xiv. Gestión De Proyectos</w:t>
      </w:r>
    </w:p>
    <w:p>
      <w:pPr>
        <w:pStyle w:val="Heading2"/>
        <w:widowControl/>
        <w:spacing w:before="140" w:after="60"/>
      </w:pPr>
      <w:r>
        <w:t>Artículo 71. Ficha obligatoria</w:t>
      </w:r>
    </w:p>
    <w:p>
      <w:pPr>
        <w:pStyle w:val="ArticleBody"/>
        <w:widowControl/>
        <w:jc w:val="both"/>
      </w:pPr>
      <w:r>
        <w:t>Todo proyecto tendrá ficha con diagnóstico, objetivo, beneficiarios, relación con el objeto, alcance, presupuesto, financiación, cronograma, responsables, indicadores, riesgos, permisos, mantenimiento y cierre.</w:t>
      </w:r>
    </w:p>
    <w:p>
      <w:pPr>
        <w:pStyle w:val="Heading2"/>
        <w:widowControl/>
        <w:spacing w:before="140" w:after="60"/>
      </w:pPr>
      <w:r>
        <w:t>Artículo 72. Aprobación y articulación</w:t>
      </w:r>
    </w:p>
    <w:p>
      <w:pPr>
        <w:pStyle w:val="ArticleBody"/>
        <w:widowControl/>
        <w:jc w:val="both"/>
      </w:pPr>
      <w:r>
        <w:t>El órgano competente de ASOPADRES aprobará el proyecto. Cuando involucre al colegio, su ejecución quedará condicionada a autorización escrita y a los requisitos técnicos, de seguridad y convivencia establecidos por el establecimiento.</w:t>
      </w:r>
    </w:p>
    <w:p>
      <w:pPr>
        <w:pStyle w:val="Heading2"/>
        <w:widowControl/>
        <w:spacing w:before="140" w:after="60"/>
      </w:pPr>
      <w:r>
        <w:t>Artículo 73. Ejecución y cambios</w:t>
      </w:r>
    </w:p>
    <w:p>
      <w:pPr>
        <w:pStyle w:val="ArticleBody"/>
        <w:widowControl/>
        <w:jc w:val="both"/>
      </w:pPr>
      <w:r>
        <w:t>Los responsables reportarán avance físico y financiero. Los cambios de alcance, costo, proveedor o cronograma requerirán justificación y aprobación previa.</w:t>
      </w:r>
    </w:p>
    <w:p>
      <w:pPr>
        <w:pStyle w:val="Heading2"/>
        <w:widowControl/>
        <w:spacing w:before="140" w:after="60"/>
      </w:pPr>
      <w:r>
        <w:t>Artículo 74. Cierre del proyecto</w:t>
      </w:r>
    </w:p>
    <w:p>
      <w:pPr>
        <w:pStyle w:val="ArticleBody"/>
        <w:widowControl/>
        <w:jc w:val="both"/>
      </w:pPr>
      <w:r>
        <w:t>El cierre incluirá informe de resultados, ejecución presupuestal, soportes, lecciones aprendidas, inventarios, garantías, actas de entrega y obligaciones pendientes.</w:t>
      </w:r>
    </w:p>
    <w:p>
      <w:pPr>
        <w:pStyle w:val="Heading1"/>
        <w:spacing w:before="240" w:after="140"/>
        <w:ind w:left="115"/>
        <w:jc w:val="left"/>
        <w:pageBreakBefore/>
        <w:widowControl/>
        <w:pBdr>
          <w:bottom w:val="single" w:sz="8" w:color="1F4E79" w:space="3"/>
        </w:pBdr>
        <w:pBdr>
          <w:bottom w:val="single" w:sz="10" w:space="3" w:color="1F4E79"/>
        </w:pBdr>
        <w:shd w:fill="F4F7FA"/>
      </w:pPr>
      <w:r>
        <w:t>Capítulo Xv. Inventarios Y Entrega De Bienes</w:t>
      </w:r>
    </w:p>
    <w:p>
      <w:pPr>
        <w:pStyle w:val="Heading2"/>
        <w:widowControl/>
        <w:spacing w:before="140" w:after="60"/>
      </w:pPr>
      <w:r>
        <w:t>Artículo 75. Inventario</w:t>
      </w:r>
    </w:p>
    <w:p>
      <w:pPr>
        <w:pStyle w:val="ArticleBody"/>
        <w:widowControl/>
        <w:jc w:val="both"/>
      </w:pPr>
      <w:r>
        <w:t>Todo bien adquirido se registrará con descripción, valor, fecha, factura, ubicación, responsable, estado, serial, garantía y condición de propiedad.</w:t>
      </w:r>
    </w:p>
    <w:p>
      <w:pPr>
        <w:pStyle w:val="Heading2"/>
        <w:widowControl/>
        <w:spacing w:before="140" w:after="60"/>
      </w:pPr>
      <w:r>
        <w:t>Artículo 76. Entrega o donación al colegio</w:t>
      </w:r>
    </w:p>
    <w:p>
      <w:pPr>
        <w:pStyle w:val="ArticleBody"/>
        <w:widowControl/>
        <w:jc w:val="both"/>
      </w:pPr>
      <w:r>
        <w:t>La entrega se formalizará mediante acta suscrita por partes autorizadas, indicando identificación, valor, estado, propiedad transferida o uso, ubicación, mantenimiento, garantías y fecha. Hasta la entrega formal, el bien permanecerá en el patrimonio de ASOPADRES.</w:t>
      </w:r>
    </w:p>
    <w:p>
      <w:pPr>
        <w:pStyle w:val="Heading2"/>
        <w:widowControl/>
        <w:spacing w:before="140" w:after="60"/>
      </w:pPr>
      <w:r>
        <w:t>Artículo 77. Bajas y disposición</w:t>
      </w:r>
    </w:p>
    <w:p>
      <w:pPr>
        <w:pStyle w:val="ArticleBody"/>
        <w:widowControl/>
        <w:jc w:val="both"/>
      </w:pPr>
      <w:r>
        <w:t>La baja por pérdida, daño, obsolescencia o venta requerirá concepto, evidencia, aprobación, actualización contable y destino transparente del bien o sus recursos.</w:t>
      </w:r>
    </w:p>
    <w:p>
      <w:pPr>
        <w:pStyle w:val="Heading1"/>
        <w:spacing w:before="240" w:after="140"/>
        <w:ind w:left="115"/>
        <w:jc w:val="left"/>
        <w:pageBreakBefore/>
        <w:widowControl/>
        <w:pBdr>
          <w:bottom w:val="single" w:sz="8" w:color="1F4E79" w:space="3"/>
        </w:pBdr>
        <w:pBdr>
          <w:bottom w:val="single" w:sz="10" w:space="3" w:color="1F4E79"/>
        </w:pBdr>
        <w:shd w:fill="F4F7FA"/>
      </w:pPr>
      <w:r>
        <w:t>Capítulo Xvi. Comunicaciones Y Vocería</w:t>
      </w:r>
    </w:p>
    <w:p>
      <w:pPr>
        <w:pStyle w:val="Heading2"/>
        <w:widowControl/>
        <w:spacing w:before="140" w:after="60"/>
      </w:pPr>
      <w:r>
        <w:t>Artículo 78. Vocería oficial</w:t>
      </w:r>
    </w:p>
    <w:p>
      <w:pPr>
        <w:pStyle w:val="ArticleBody"/>
        <w:widowControl/>
        <w:jc w:val="both"/>
      </w:pPr>
      <w:r>
        <w:t>La vocería corresponde al presidente o a quien la Junta autorice para un asunto. Los demás miembros podrán expresar opiniones personales dejando claro que no representan a ASOPADRES.</w:t>
      </w:r>
    </w:p>
    <w:p>
      <w:pPr>
        <w:pStyle w:val="Heading2"/>
        <w:widowControl/>
        <w:spacing w:before="140" w:after="60"/>
      </w:pPr>
      <w:r>
        <w:t>Artículo 79. Aprobación de comunicaciones</w:t>
      </w:r>
    </w:p>
    <w:p>
      <w:pPr>
        <w:pStyle w:val="ArticleBody"/>
        <w:widowControl/>
        <w:jc w:val="both"/>
      </w:pPr>
      <w:r>
        <w:t>Los comunicados institucionales sobre asuntos jurídicos, financieros, controversiales o relacionados con el colegio serán revisados por al menos dos miembros y aprobados por la Junta o por el presidente dentro de una delegación expresa.</w:t>
      </w:r>
    </w:p>
    <w:p>
      <w:pPr>
        <w:pStyle w:val="Heading2"/>
        <w:widowControl/>
        <w:spacing w:before="140" w:after="60"/>
      </w:pPr>
      <w:r>
        <w:t>Artículo 80. Derecho de petición y correspondencia</w:t>
      </w:r>
    </w:p>
    <w:p>
      <w:pPr>
        <w:pStyle w:val="ArticleBody"/>
        <w:widowControl/>
        <w:jc w:val="both"/>
      </w:pPr>
      <w:r>
        <w:t>Toda comunicación recibida se radicará, clasificará, asignará y responderá dentro del plazo aplicable. Las respuestas conservarán anexos, evidencia de envío y aprobación.</w:t>
      </w:r>
    </w:p>
    <w:p>
      <w:pPr>
        <w:pStyle w:val="Heading1"/>
        <w:spacing w:before="240" w:after="140"/>
        <w:ind w:left="115"/>
        <w:jc w:val="left"/>
        <w:pageBreakBefore/>
        <w:widowControl/>
        <w:pBdr>
          <w:bottom w:val="single" w:sz="8" w:color="1F4E79" w:space="3"/>
        </w:pBdr>
        <w:pBdr>
          <w:bottom w:val="single" w:sz="10" w:space="3" w:color="1F4E79"/>
        </w:pBdr>
        <w:shd w:fill="F4F7FA"/>
      </w:pPr>
      <w:r>
        <w:t>Capítulo Xvii. Redes Sociales, Imagen Y Propiedad Intelectual</w:t>
      </w:r>
    </w:p>
    <w:p>
      <w:pPr>
        <w:pStyle w:val="Heading2"/>
        <w:widowControl/>
        <w:spacing w:before="140" w:after="60"/>
      </w:pPr>
      <w:r>
        <w:t>Artículo 81. Cuentas institucionales</w:t>
      </w:r>
    </w:p>
    <w:p>
      <w:pPr>
        <w:pStyle w:val="ArticleBody"/>
        <w:widowControl/>
        <w:jc w:val="both"/>
      </w:pPr>
      <w:r>
        <w:t>Las cuentas, dominios y perfiles se crearán a nombre de ASOPADRES, con correos institucionales, autenticación reforzada y al menos dos custodios. Se prohíbe asociarlas exclusivamente a cuentas personales.</w:t>
      </w:r>
    </w:p>
    <w:p>
      <w:pPr>
        <w:pStyle w:val="Heading2"/>
        <w:widowControl/>
        <w:spacing w:before="140" w:after="60"/>
      </w:pPr>
      <w:r>
        <w:t>Artículo 82. Contenido y autorización</w:t>
      </w:r>
    </w:p>
    <w:p>
      <w:pPr>
        <w:pStyle w:val="ArticleBody"/>
        <w:widowControl/>
        <w:jc w:val="both"/>
      </w:pPr>
      <w:r>
        <w:t>Las publicaciones deberán ser veraces, respetuosas, relacionadas con el objeto y contar con autorizaciones de imagen y datos. El uso de marcas o signos del colegio requerirá autorización previa.</w:t>
      </w:r>
    </w:p>
    <w:p>
      <w:pPr>
        <w:pStyle w:val="Heading2"/>
        <w:widowControl/>
        <w:spacing w:before="140" w:after="60"/>
      </w:pPr>
      <w:r>
        <w:t>Artículo 83. Menores de edad</w:t>
      </w:r>
    </w:p>
    <w:p>
      <w:pPr>
        <w:pStyle w:val="ArticleBody"/>
        <w:widowControl/>
        <w:jc w:val="both"/>
      </w:pPr>
      <w:r>
        <w:t>No se publicarán datos, imágenes, nombres, cursos, ubicaciones o información que permita identificar a menores sin base jurídica y autorización válida. Se evitarán contenidos que los expongan, estigmaticen o comprometan su seguridad.</w:t>
      </w:r>
    </w:p>
    <w:p>
      <w:pPr>
        <w:pStyle w:val="Heading2"/>
        <w:widowControl/>
        <w:spacing w:before="140" w:after="60"/>
      </w:pPr>
      <w:r>
        <w:t>Artículo 84. Corrección y retiro</w:t>
      </w:r>
    </w:p>
    <w:p>
      <w:pPr>
        <w:pStyle w:val="ArticleBody"/>
        <w:widowControl/>
        <w:jc w:val="both"/>
      </w:pPr>
      <w:r>
        <w:t>Ante error, solicitud legítima o riesgo, el administrador preservará evidencia, ocultará o retirará preventivamente el contenido cuando sea necesario, informará a la Junta y documentará la decisión.</w:t>
      </w:r>
    </w:p>
    <w:p>
      <w:pPr>
        <w:pStyle w:val="Heading1"/>
        <w:spacing w:before="240" w:after="140"/>
        <w:ind w:left="115"/>
        <w:jc w:val="left"/>
        <w:pageBreakBefore/>
        <w:widowControl/>
        <w:pBdr>
          <w:bottom w:val="single" w:sz="8" w:color="1F4E79" w:space="3"/>
        </w:pBdr>
        <w:pBdr>
          <w:bottom w:val="single" w:sz="10" w:space="3" w:color="1F4E79"/>
        </w:pBdr>
        <w:shd w:fill="F4F7FA"/>
      </w:pPr>
      <w:r>
        <w:t>Capítulo Xviii. Protección De Datos Personales</w:t>
      </w:r>
    </w:p>
    <w:p>
      <w:pPr>
        <w:pStyle w:val="Heading2"/>
        <w:widowControl/>
        <w:spacing w:before="140" w:after="60"/>
      </w:pPr>
      <w:r>
        <w:t>Artículo 85. Responsabilidad y finalidad</w:t>
      </w:r>
    </w:p>
    <w:p>
      <w:pPr>
        <w:pStyle w:val="ArticleBody"/>
        <w:widowControl/>
        <w:jc w:val="both"/>
      </w:pPr>
      <w:r>
        <w:t>ASOPADRES tratará datos únicamente para fines legítimos de afiliación, comunicación, recaudo, participación, actividades y cumplimiento legal, conforme a su política de tratamiento.</w:t>
      </w:r>
    </w:p>
    <w:p>
      <w:pPr>
        <w:pStyle w:val="Heading2"/>
        <w:widowControl/>
        <w:spacing w:before="140" w:after="60"/>
      </w:pPr>
      <w:r>
        <w:t>Artículo 86. Autorización y datos de menores</w:t>
      </w:r>
    </w:p>
    <w:p>
      <w:pPr>
        <w:pStyle w:val="ArticleBody"/>
        <w:widowControl/>
        <w:jc w:val="both"/>
      </w:pPr>
      <w:r>
        <w:t>Se obtendrán autorizaciones previas, expresas e informadas cuando sean requeridas. Los datos de menores tendrán protección reforzada y solo se tratarán cuando respondan a su interés superior y se respeten sus derechos.</w:t>
      </w:r>
    </w:p>
    <w:p>
      <w:pPr>
        <w:pStyle w:val="Heading2"/>
        <w:widowControl/>
        <w:spacing w:before="140" w:after="60"/>
      </w:pPr>
      <w:r>
        <w:t>Artículo 87. Seguridad y accesos</w:t>
      </w:r>
    </w:p>
    <w:p>
      <w:pPr>
        <w:pStyle w:val="ArticleBody"/>
        <w:widowControl/>
        <w:jc w:val="both"/>
      </w:pPr>
      <w:r>
        <w:t>La Junta definirá perfiles de acceso, contraseñas, respaldo, cifrado cuando sea posible, inventario de bases, acuerdos de confidencialidad y procedimiento de incidentes. Se prohíbe descargar bases completas en dispositivos personales sin necesidad y protección.</w:t>
      </w:r>
    </w:p>
    <w:p>
      <w:pPr>
        <w:pStyle w:val="Heading2"/>
        <w:widowControl/>
        <w:spacing w:before="140" w:after="60"/>
      </w:pPr>
      <w:r>
        <w:t>Artículo 88. Derechos de titulares e incidentes</w:t>
      </w:r>
    </w:p>
    <w:p>
      <w:pPr>
        <w:pStyle w:val="ArticleBody"/>
        <w:widowControl/>
        <w:jc w:val="both"/>
      </w:pPr>
      <w:r>
        <w:t>Se habilitará canal para consultas, actualización, rectificación, supresión y revocatoria cuando proceda. Los incidentes serán contenidos, documentados, evaluados y comunicados conforme a la normativa.</w:t>
      </w:r>
    </w:p>
    <w:p>
      <w:pPr>
        <w:pStyle w:val="Heading1"/>
        <w:spacing w:before="240" w:after="140"/>
        <w:ind w:left="115"/>
        <w:jc w:val="left"/>
        <w:pageBreakBefore/>
        <w:widowControl/>
        <w:pBdr>
          <w:bottom w:val="single" w:sz="8" w:color="1F4E79" w:space="3"/>
        </w:pBdr>
        <w:pBdr>
          <w:bottom w:val="single" w:sz="10" w:space="3" w:color="1F4E79"/>
        </w:pBdr>
        <w:shd w:fill="F4F7FA"/>
      </w:pPr>
      <w:r>
        <w:t>Capítulo Xix. Gestión Documental</w:t>
      </w:r>
    </w:p>
    <w:p>
      <w:pPr>
        <w:pStyle w:val="Heading2"/>
        <w:widowControl/>
        <w:spacing w:before="140" w:after="60"/>
      </w:pPr>
      <w:r>
        <w:t>Artículo 89. Archivo institucional</w:t>
      </w:r>
    </w:p>
    <w:p>
      <w:pPr>
        <w:pStyle w:val="ArticleBody"/>
        <w:widowControl/>
        <w:jc w:val="both"/>
      </w:pPr>
      <w:r>
        <w:t>ASOPADRES mantendrá expedientes físicos o digitales de actas, asociados, contratos, contabilidad, impuestos, bancos, inventarios, proyectos, comunicaciones, datos personales y procesos jurídicos.</w:t>
      </w:r>
    </w:p>
    <w:p>
      <w:pPr>
        <w:pStyle w:val="Heading2"/>
        <w:widowControl/>
        <w:spacing w:before="140" w:after="60"/>
      </w:pPr>
      <w:r>
        <w:t>Artículo 90. Control de versiones y nomenclatura</w:t>
      </w:r>
    </w:p>
    <w:p>
      <w:pPr>
        <w:pStyle w:val="ArticleBody"/>
        <w:widowControl/>
        <w:jc w:val="both"/>
      </w:pPr>
      <w:r>
        <w:t>Los documentos oficiales tendrán código o nombre uniforme, versión, fecha, responsable, estado y ubicación. Se evitarán múltiples copias sin identificar cuál es la vigente.</w:t>
      </w:r>
    </w:p>
    <w:p>
      <w:pPr>
        <w:pStyle w:val="Heading2"/>
        <w:widowControl/>
        <w:spacing w:before="140" w:after="60"/>
      </w:pPr>
      <w:r>
        <w:t>Artículo 91. Libros y copias</w:t>
      </w:r>
    </w:p>
    <w:p>
      <w:pPr>
        <w:pStyle w:val="ArticleBody"/>
        <w:widowControl/>
        <w:jc w:val="both"/>
      </w:pPr>
      <w:r>
        <w:t>Los libros registrados y documentos originales estarán bajo custodia designada. Las copias certificadas se expedirán por quien tenga competencia y dejarán registro de destinatario, fecha y alcance.</w:t>
      </w:r>
    </w:p>
    <w:p>
      <w:pPr>
        <w:pStyle w:val="Heading2"/>
        <w:widowControl/>
        <w:spacing w:before="140" w:after="60"/>
      </w:pPr>
      <w:r>
        <w:t>Artículo 92. Retención y eliminación</w:t>
      </w:r>
    </w:p>
    <w:p>
      <w:pPr>
        <w:pStyle w:val="ArticleBody"/>
        <w:widowControl/>
        <w:jc w:val="both"/>
      </w:pPr>
      <w:r>
        <w:t>La Junta adoptará tabla de retención considerando obligaciones legales, tributarias, contractuales, probatorias y de datos personales. La eliminación será segura, autorizada y documentada.</w:t>
      </w:r>
    </w:p>
    <w:p>
      <w:pPr>
        <w:pStyle w:val="Heading1"/>
        <w:spacing w:before="240" w:after="140"/>
        <w:ind w:left="115"/>
        <w:jc w:val="left"/>
        <w:pageBreakBefore/>
        <w:widowControl/>
        <w:pBdr>
          <w:bottom w:val="single" w:sz="8" w:color="1F4E79" w:space="3"/>
        </w:pBdr>
        <w:pBdr>
          <w:bottom w:val="single" w:sz="10" w:space="3" w:color="1F4E79"/>
        </w:pBdr>
        <w:shd w:fill="F4F7FA"/>
      </w:pPr>
      <w:r>
        <w:t>Capítulo Xx. Conflictos De Interés E Inhabilidades</w:t>
      </w:r>
    </w:p>
    <w:p>
      <w:pPr>
        <w:pStyle w:val="Heading2"/>
        <w:widowControl/>
        <w:spacing w:before="140" w:after="60"/>
      </w:pPr>
      <w:r>
        <w:t>Artículo 93. Declaración</w:t>
      </w:r>
    </w:p>
    <w:p>
      <w:pPr>
        <w:pStyle w:val="ArticleBody"/>
        <w:widowControl/>
        <w:jc w:val="both"/>
      </w:pPr>
      <w:r>
        <w:t>Al iniciar el período y cuando surja una situación, cada directivo declarará intereses económicos, laborales, familiares o personales que puedan afectar su objetividad.</w:t>
      </w:r>
    </w:p>
    <w:p>
      <w:pPr>
        <w:pStyle w:val="Heading2"/>
        <w:widowControl/>
        <w:spacing w:before="140" w:after="60"/>
      </w:pPr>
      <w:r>
        <w:t>Artículo 94. Procedimiento de impedimento</w:t>
      </w:r>
    </w:p>
    <w:p>
      <w:pPr>
        <w:pStyle w:val="ArticleBody"/>
        <w:widowControl/>
        <w:jc w:val="both"/>
      </w:pPr>
      <w:r>
        <w:t>El interesado informará antes de deliberar, se retirará de la discusión y votación, y el acta dejará constancia. Los demás decidirán sobre el impedimento sin participación del interesado.</w:t>
      </w:r>
    </w:p>
    <w:p>
      <w:pPr>
        <w:pStyle w:val="Heading2"/>
        <w:widowControl/>
        <w:spacing w:before="140" w:after="60"/>
      </w:pPr>
      <w:r>
        <w:t>Artículo 95. Prohibiciones absolutas</w:t>
      </w:r>
    </w:p>
    <w:p>
      <w:pPr>
        <w:pStyle w:val="ArticleBody"/>
        <w:widowControl/>
        <w:jc w:val="both"/>
      </w:pPr>
      <w:r>
        <w:t>Cuando la ley o los estatutos prohíban una contratación o actuación por parentesco o vínculo, no bastará con abstenerse: la operación no podrá celebrarse.</w:t>
      </w:r>
    </w:p>
    <w:p>
      <w:pPr>
        <w:pStyle w:val="Heading2"/>
        <w:widowControl/>
        <w:spacing w:before="140" w:after="60"/>
      </w:pPr>
      <w:r>
        <w:t>Artículo 96. Regalos y beneficios</w:t>
      </w:r>
    </w:p>
    <w:p>
      <w:pPr>
        <w:pStyle w:val="ArticleBody"/>
        <w:widowControl/>
        <w:jc w:val="both"/>
      </w:pPr>
      <w:r>
        <w:t>Los directivos no aceptarán regalos, comisiones, descuentos personales o beneficios que puedan influir en decisiones. Las atenciones de valor simbólico se declararán cuando puedan generar apariencia de compromiso.</w:t>
      </w:r>
    </w:p>
    <w:p>
      <w:pPr>
        <w:pStyle w:val="Heading1"/>
        <w:spacing w:before="240" w:after="140"/>
        <w:ind w:left="115"/>
        <w:jc w:val="left"/>
        <w:pageBreakBefore/>
        <w:widowControl/>
        <w:pBdr>
          <w:bottom w:val="single" w:sz="8" w:color="1F4E79" w:space="3"/>
        </w:pBdr>
        <w:pBdr>
          <w:bottom w:val="single" w:sz="10" w:space="3" w:color="1F4E79"/>
        </w:pBdr>
        <w:shd w:fill="F4F7FA"/>
      </w:pPr>
      <w:r>
        <w:t>Capítulo Xxi. Renuncias, Vacancias Y Reemplazos</w:t>
      </w:r>
    </w:p>
    <w:p>
      <w:pPr>
        <w:pStyle w:val="Heading2"/>
        <w:widowControl/>
        <w:spacing w:before="140" w:after="60"/>
      </w:pPr>
      <w:r>
        <w:t>Artículo 97. Clases de renuncia</w:t>
      </w:r>
    </w:p>
    <w:p>
      <w:pPr>
        <w:pStyle w:val="ArticleBody"/>
        <w:widowControl/>
        <w:jc w:val="both"/>
      </w:pPr>
      <w:r>
        <w:t>La comunicación deberá indicar claramente si se renuncia a una dignidad interna, a la representación legal, a la calidad de miembro de Junta o a varias de ellas. No se presumirá un alcance distinto del texto expreso, sin perjuicio de los efectos jurídicos inseparables previstos en los estatutos.</w:t>
      </w:r>
    </w:p>
    <w:p>
      <w:pPr>
        <w:pStyle w:val="Heading2"/>
        <w:widowControl/>
        <w:spacing w:before="140" w:after="60"/>
      </w:pPr>
      <w:r>
        <w:t>Artículo 98. Trámite</w:t>
      </w:r>
    </w:p>
    <w:p>
      <w:pPr>
        <w:pStyle w:val="ArticleBody"/>
        <w:widowControl/>
        <w:jc w:val="both"/>
      </w:pPr>
      <w:r>
        <w:t>La renuncia se radicará, será puesta en conocimiento del órgano competente, se dejará constancia de aceptación cuando proceda, se designará reemplazo conforme a los estatutos y se realizará registro si es obligatorio.</w:t>
      </w:r>
    </w:p>
    <w:p>
      <w:pPr>
        <w:pStyle w:val="Heading2"/>
        <w:widowControl/>
        <w:spacing w:before="140" w:after="60"/>
      </w:pPr>
      <w:r>
        <w:t>Artículo 99. Vacancias</w:t>
      </w:r>
    </w:p>
    <w:p>
      <w:pPr>
        <w:pStyle w:val="ArticleBody"/>
        <w:widowControl/>
        <w:jc w:val="both"/>
      </w:pPr>
      <w:r>
        <w:t>Las ausencias temporales y definitivas se cubrirán exclusivamente mediante los mecanismos estatutarios. Si el número de vacantes activa competencia de la Asamblea, la Junta deberá convocarla.</w:t>
      </w:r>
    </w:p>
    <w:p>
      <w:pPr>
        <w:pStyle w:val="Heading2"/>
        <w:widowControl/>
        <w:spacing w:before="140" w:after="60"/>
      </w:pPr>
      <w:r>
        <w:t>Artículo 100. Entrega del cargo</w:t>
      </w:r>
    </w:p>
    <w:p>
      <w:pPr>
        <w:pStyle w:val="ArticleBody"/>
        <w:widowControl/>
        <w:jc w:val="both"/>
      </w:pPr>
      <w:r>
        <w:t>Quien se retire entregará documentos, fondos, dispositivos, claves, contratos, pendientes e informe dentro del plazo fijado, sin retener copias de datos personales o información reservada.</w:t>
      </w:r>
    </w:p>
    <w:p>
      <w:pPr>
        <w:pStyle w:val="Heading1"/>
        <w:spacing w:before="240" w:after="140"/>
        <w:ind w:left="115"/>
        <w:jc w:val="left"/>
        <w:pageBreakBefore/>
        <w:widowControl/>
        <w:pBdr>
          <w:bottom w:val="single" w:sz="8" w:color="1F4E79" w:space="3"/>
        </w:pBdr>
        <w:pBdr>
          <w:bottom w:val="single" w:sz="10" w:space="3" w:color="1F4E79"/>
        </w:pBdr>
        <w:shd w:fill="F4F7FA"/>
      </w:pPr>
      <w:r>
        <w:t>Capítulo Xxii. Comités, Voluntarios Y Asesores</w:t>
      </w:r>
    </w:p>
    <w:p>
      <w:pPr>
        <w:pStyle w:val="Heading2"/>
        <w:widowControl/>
        <w:spacing w:before="140" w:after="60"/>
      </w:pPr>
      <w:r>
        <w:t>Artículo 101. Creación de comités</w:t>
      </w:r>
    </w:p>
    <w:p>
      <w:pPr>
        <w:pStyle w:val="ArticleBody"/>
        <w:widowControl/>
        <w:jc w:val="both"/>
      </w:pPr>
      <w:r>
        <w:t>La Junta podrá crear comités de apoyo con objeto, integrantes, coordinador, período, presupuesto, productos y reglas de reporte. Los comités no sustituyen a la Junta ni pueden contratar o gastar sin autorización.</w:t>
      </w:r>
    </w:p>
    <w:p>
      <w:pPr>
        <w:pStyle w:val="Heading2"/>
        <w:widowControl/>
        <w:spacing w:before="140" w:after="60"/>
      </w:pPr>
      <w:r>
        <w:t>Artículo 102. Voluntarios</w:t>
      </w:r>
    </w:p>
    <w:p>
      <w:pPr>
        <w:pStyle w:val="ArticleBody"/>
        <w:widowControl/>
        <w:jc w:val="both"/>
      </w:pPr>
      <w:r>
        <w:t>Los voluntarios suscribirán compromiso de alcance, confidencialidad, protección de datos, uso de imagen, seguridad y devolución de activos. Su participación no crea representación ni relación laboral por sí misma.</w:t>
      </w:r>
    </w:p>
    <w:p>
      <w:pPr>
        <w:pStyle w:val="Heading2"/>
        <w:widowControl/>
        <w:spacing w:before="140" w:after="60"/>
      </w:pPr>
      <w:r>
        <w:t>Artículo 103. Asesores externos</w:t>
      </w:r>
    </w:p>
    <w:p>
      <w:pPr>
        <w:pStyle w:val="ArticleBody"/>
        <w:widowControl/>
        <w:jc w:val="both"/>
      </w:pPr>
      <w:r>
        <w:t>La contratación de asesores se justificará por complejidad, independencia o falta de capacidad interna, y se someterá al procedimiento de contratación y conflicto de interés.</w:t>
      </w:r>
    </w:p>
    <w:p>
      <w:pPr>
        <w:pStyle w:val="Heading1"/>
        <w:spacing w:before="240" w:after="140"/>
        <w:ind w:left="115"/>
        <w:jc w:val="left"/>
        <w:pageBreakBefore/>
        <w:widowControl/>
        <w:pBdr>
          <w:bottom w:val="single" w:sz="8" w:color="1F4E79" w:space="3"/>
        </w:pBdr>
        <w:pBdr>
          <w:bottom w:val="single" w:sz="10" w:space="3" w:color="1F4E79"/>
        </w:pBdr>
        <w:shd w:fill="F4F7FA"/>
      </w:pPr>
      <w:r>
        <w:t>Capítulo Xxiii. Talento Humano Y Contratistas</w:t>
      </w:r>
    </w:p>
    <w:p>
      <w:pPr>
        <w:pStyle w:val="Heading2"/>
        <w:widowControl/>
        <w:spacing w:before="140" w:after="60"/>
      </w:pPr>
      <w:r>
        <w:t>Artículo 104. Vinculación</w:t>
      </w:r>
    </w:p>
    <w:p>
      <w:pPr>
        <w:pStyle w:val="ArticleBody"/>
        <w:widowControl/>
        <w:jc w:val="both"/>
      </w:pPr>
      <w:r>
        <w:t>Toda vinculación laboral o contractual contará con perfil, funciones, remuneración, plazo, supervisión, afiliaciones y obligaciones conforme a la modalidad jurídica real.</w:t>
      </w:r>
    </w:p>
    <w:p>
      <w:pPr>
        <w:pStyle w:val="Heading2"/>
        <w:widowControl/>
        <w:spacing w:before="140" w:after="60"/>
      </w:pPr>
      <w:r>
        <w:t>Artículo 105. Manual de funciones</w:t>
      </w:r>
    </w:p>
    <w:p>
      <w:pPr>
        <w:pStyle w:val="ArticleBody"/>
        <w:widowControl/>
        <w:jc w:val="both"/>
      </w:pPr>
      <w:r>
        <w:t>Los trabajadores tendrán manual de funciones, indicadores, autorizaciones, manejo de información, horario o entregables y procedimiento de evaluación. Ningún miembro de Junta impartirá instrucciones contradictorias por fuera de la línea definida.</w:t>
      </w:r>
    </w:p>
    <w:p>
      <w:pPr>
        <w:pStyle w:val="Heading2"/>
        <w:widowControl/>
        <w:spacing w:before="140" w:after="60"/>
      </w:pPr>
      <w:r>
        <w:t>Artículo 106. Confidencialidad y propiedad de información</w:t>
      </w:r>
    </w:p>
    <w:p>
      <w:pPr>
        <w:pStyle w:val="ArticleBody"/>
        <w:widowControl/>
        <w:jc w:val="both"/>
      </w:pPr>
      <w:r>
        <w:t>Los documentos, bases, diseños, cuentas, claves y productos elaborados para ASOPADRES serán entregados y protegidos conforme al contrato y la ley.</w:t>
      </w:r>
    </w:p>
    <w:p>
      <w:pPr>
        <w:pStyle w:val="Heading1"/>
        <w:spacing w:before="240" w:after="140"/>
        <w:ind w:left="115"/>
        <w:jc w:val="left"/>
        <w:pageBreakBefore/>
        <w:widowControl/>
        <w:pBdr>
          <w:bottom w:val="single" w:sz="8" w:color="1F4E79" w:space="3"/>
        </w:pBdr>
        <w:pBdr>
          <w:bottom w:val="single" w:sz="10" w:space="3" w:color="1F4E79"/>
        </w:pBdr>
        <w:shd w:fill="F4F7FA"/>
      </w:pPr>
      <w:r>
        <w:t>Capítulo Xxiv. Empalme Y Cierre De Período</w:t>
      </w:r>
    </w:p>
    <w:p>
      <w:pPr>
        <w:pStyle w:val="Heading2"/>
        <w:widowControl/>
        <w:spacing w:before="140" w:after="60"/>
      </w:pPr>
      <w:r>
        <w:t>Artículo 107. Comisión de empalme</w:t>
      </w:r>
    </w:p>
    <w:p>
      <w:pPr>
        <w:pStyle w:val="ArticleBody"/>
        <w:widowControl/>
        <w:jc w:val="both"/>
      </w:pPr>
      <w:r>
        <w:t>La Junta saliente y la entrante designarán responsables y cronograma de empalme. El proceso no dependerá exclusivamente del presidente o tesorero.</w:t>
      </w:r>
    </w:p>
    <w:p>
      <w:pPr>
        <w:pStyle w:val="Heading2"/>
        <w:widowControl/>
        <w:spacing w:before="140" w:after="60"/>
      </w:pPr>
      <w:r>
        <w:t>Artículo 108. Contenido mínimo</w:t>
      </w:r>
    </w:p>
    <w:p>
      <w:pPr>
        <w:pStyle w:val="ArticleBody"/>
        <w:widowControl/>
        <w:ind w:left="317" w:hanging="216"/>
        <w:jc w:val="both"/>
      </w:pPr>
      <w:r>
        <w:t>Certificado, estatutos y reglamentos.</w:t>
      </w:r>
    </w:p>
    <w:p>
      <w:pPr>
        <w:pStyle w:val="ArticleBody"/>
        <w:widowControl/>
        <w:ind w:left="317" w:hanging="216"/>
        <w:jc w:val="both"/>
      </w:pPr>
      <w:r>
        <w:t>Libros de actas y asociados.</w:t>
      </w:r>
    </w:p>
    <w:p>
      <w:pPr>
        <w:pStyle w:val="ArticleBody"/>
        <w:widowControl/>
        <w:ind w:left="317" w:hanging="216"/>
        <w:jc w:val="both"/>
      </w:pPr>
      <w:r>
        <w:t>Estados financieros, extractos, conciliaciones y obligaciones.</w:t>
      </w:r>
    </w:p>
    <w:p>
      <w:pPr>
        <w:pStyle w:val="ArticleBody"/>
        <w:widowControl/>
        <w:ind w:left="317" w:hanging="216"/>
        <w:jc w:val="both"/>
      </w:pPr>
      <w:r>
        <w:t>Presupuesto y plan de trabajo.</w:t>
      </w:r>
    </w:p>
    <w:p>
      <w:pPr>
        <w:pStyle w:val="ArticleBody"/>
        <w:widowControl/>
        <w:ind w:left="317" w:hanging="216"/>
        <w:jc w:val="both"/>
      </w:pPr>
      <w:r>
        <w:t>Contratos, procesos y compromisos.</w:t>
      </w:r>
    </w:p>
    <w:p>
      <w:pPr>
        <w:pStyle w:val="ArticleBody"/>
        <w:widowControl/>
        <w:ind w:left="317" w:hanging="216"/>
        <w:jc w:val="both"/>
      </w:pPr>
      <w:r>
        <w:t>Inventarios, garantías y bienes entregados.</w:t>
      </w:r>
    </w:p>
    <w:p>
      <w:pPr>
        <w:pStyle w:val="ArticleBody"/>
        <w:widowControl/>
        <w:ind w:left="317" w:hanging="216"/>
        <w:jc w:val="both"/>
      </w:pPr>
      <w:r>
        <w:t>Proyectos en curso.</w:t>
      </w:r>
    </w:p>
    <w:p>
      <w:pPr>
        <w:pStyle w:val="ArticleBody"/>
        <w:widowControl/>
        <w:ind w:left="317" w:hanging="216"/>
        <w:jc w:val="both"/>
      </w:pPr>
      <w:r>
        <w:t>Claves, dominios, redes y licencias.</w:t>
      </w:r>
    </w:p>
    <w:p>
      <w:pPr>
        <w:pStyle w:val="ArticleBody"/>
        <w:widowControl/>
        <w:ind w:left="317" w:hanging="216"/>
        <w:jc w:val="both"/>
      </w:pPr>
      <w:r>
        <w:t>Bases de datos y autorizaciones.</w:t>
      </w:r>
    </w:p>
    <w:p>
      <w:pPr>
        <w:pStyle w:val="ArticleBody"/>
        <w:widowControl/>
        <w:ind w:left="317" w:hanging="216"/>
        <w:jc w:val="both"/>
      </w:pPr>
      <w:r>
        <w:t>Riesgos, litigios, derechos de petición y requerimientos.</w:t>
      </w:r>
    </w:p>
    <w:p>
      <w:pPr>
        <w:pStyle w:val="Heading2"/>
        <w:widowControl/>
        <w:spacing w:before="140" w:after="60"/>
      </w:pPr>
      <w:r>
        <w:t>Artículo 109. Acta de empalme</w:t>
      </w:r>
    </w:p>
    <w:p>
      <w:pPr>
        <w:pStyle w:val="ArticleBody"/>
        <w:widowControl/>
        <w:jc w:val="both"/>
      </w:pPr>
      <w:r>
        <w:t>La entrega se formalizará mediante acta con inventario, documentos faltantes, compromisos, plazos y firmas. Las diferencias se informarán al fiscal y a la Junta.</w:t>
      </w:r>
    </w:p>
    <w:p>
      <w:pPr>
        <w:pStyle w:val="Heading1"/>
        <w:spacing w:before="240" w:after="140"/>
        <w:ind w:left="115"/>
        <w:jc w:val="left"/>
        <w:pageBreakBefore/>
        <w:widowControl/>
        <w:pBdr>
          <w:bottom w:val="single" w:sz="8" w:color="1F4E79" w:space="3"/>
        </w:pBdr>
        <w:pBdr>
          <w:bottom w:val="single" w:sz="10" w:space="3" w:color="1F4E79"/>
        </w:pBdr>
        <w:shd w:fill="F4F7FA"/>
      </w:pPr>
      <w:r>
        <w:t>Capítulo Xxv. Debido Proceso Y Solución De Controversias</w:t>
      </w:r>
    </w:p>
    <w:p>
      <w:pPr>
        <w:pStyle w:val="Heading2"/>
        <w:widowControl/>
        <w:spacing w:before="140" w:after="60"/>
      </w:pPr>
      <w:r>
        <w:t>Artículo 110. Debido proceso</w:t>
      </w:r>
    </w:p>
    <w:p>
      <w:pPr>
        <w:pStyle w:val="ArticleBody"/>
        <w:widowControl/>
        <w:jc w:val="both"/>
      </w:pPr>
      <w:r>
        <w:t>Antes de recomendar o adoptar una sanción o exclusión, se comunicará la conducta, normas presuntamente incumplidas y evidencias; se otorgará oportunidad razonable de descargos y pruebas; decidirá el órgano competente mediante decisión motivada.</w:t>
      </w:r>
    </w:p>
    <w:p>
      <w:pPr>
        <w:pStyle w:val="Heading2"/>
        <w:widowControl/>
        <w:spacing w:before="140" w:after="60"/>
      </w:pPr>
      <w:r>
        <w:t>Artículo 111. Medidas de mejora</w:t>
      </w:r>
    </w:p>
    <w:p>
      <w:pPr>
        <w:pStyle w:val="ArticleBody"/>
        <w:widowControl/>
        <w:jc w:val="both"/>
      </w:pPr>
      <w:r>
        <w:t>Los incumplimientos operativos podrán dar lugar a requerimiento, plan de mejora, reasignación de tareas o remisión al fiscal, sin inventar sanciones no previstas en los estatutos.</w:t>
      </w:r>
    </w:p>
    <w:p>
      <w:pPr>
        <w:pStyle w:val="Heading2"/>
        <w:widowControl/>
        <w:spacing w:before="140" w:after="60"/>
      </w:pPr>
      <w:r>
        <w:t>Artículo 112. Mecanismos de solución</w:t>
      </w:r>
    </w:p>
    <w:p>
      <w:pPr>
        <w:pStyle w:val="ArticleBody"/>
        <w:widowControl/>
        <w:jc w:val="both"/>
      </w:pPr>
      <w:r>
        <w:t>Las controversias internas se procurarán resolver mediante diálogo documentado, mediación o conciliación, sin impedir el acceso a autoridades competentes. Los conflictos que la Junta no pueda resolver serán llevados a la Asamblea cuando corresponda.</w:t>
      </w:r>
    </w:p>
    <w:p>
      <w:pPr>
        <w:pStyle w:val="Heading2"/>
        <w:widowControl/>
        <w:spacing w:before="140" w:after="60"/>
      </w:pPr>
      <w:r>
        <w:t>Artículo 113. Denuncias y no represalias</w:t>
      </w:r>
    </w:p>
    <w:p>
      <w:pPr>
        <w:pStyle w:val="ArticleBody"/>
        <w:widowControl/>
        <w:jc w:val="both"/>
      </w:pPr>
      <w:r>
        <w:t>Se habilitará canal para reportar irregularidades de buena fe. Se protegerá la confidencialidad y se prohíben represalias, sin perjuicio del deber de responder por denuncias deliberadamente falsas.</w:t>
      </w:r>
    </w:p>
    <w:p>
      <w:pPr>
        <w:pStyle w:val="Heading1"/>
        <w:spacing w:before="240" w:after="140"/>
        <w:ind w:left="115"/>
        <w:jc w:val="left"/>
        <w:pageBreakBefore/>
        <w:widowControl/>
        <w:pBdr>
          <w:bottom w:val="single" w:sz="8" w:color="1F4E79" w:space="3"/>
        </w:pBdr>
        <w:pBdr>
          <w:bottom w:val="single" w:sz="10" w:space="3" w:color="1F4E79"/>
        </w:pBdr>
        <w:shd w:fill="F4F7FA"/>
      </w:pPr>
      <w:r>
        <w:t>Capítulo Xxvi. Interpretación, Reforma Y Vigencia</w:t>
      </w:r>
    </w:p>
    <w:p>
      <w:pPr>
        <w:pStyle w:val="Heading2"/>
        <w:widowControl/>
        <w:spacing w:before="140" w:after="60"/>
      </w:pPr>
      <w:r>
        <w:t>Artículo 114. Interpretación</w:t>
      </w:r>
    </w:p>
    <w:p>
      <w:pPr>
        <w:pStyle w:val="ArticleBody"/>
        <w:widowControl/>
        <w:jc w:val="both"/>
      </w:pPr>
      <w:r>
        <w:t>La Junta interpretará este reglamento de forma armónica con la ley y los estatutos. Las dudas que impliquen modificar competencias, quórum, mayorías, períodos o derechos serán sometidas al órgano competente y, si es necesario, a concepto jurídico.</w:t>
      </w:r>
    </w:p>
    <w:p>
      <w:pPr>
        <w:pStyle w:val="Heading2"/>
        <w:widowControl/>
        <w:spacing w:before="140" w:after="60"/>
      </w:pPr>
      <w:r>
        <w:t>Artículo 115. Aprobación y modificación</w:t>
      </w:r>
    </w:p>
    <w:p>
      <w:pPr>
        <w:pStyle w:val="ArticleBody"/>
        <w:widowControl/>
        <w:jc w:val="both"/>
      </w:pPr>
      <w:r>
        <w:t>El reglamento y sus modificaciones serán aprobados por la Junta en ejercicio de la facultad estatutaria, mediante acta que identifique texto, versión y vigencia. No podrá utilizarse para reformar estatutos.</w:t>
      </w:r>
    </w:p>
    <w:p>
      <w:pPr>
        <w:pStyle w:val="Heading2"/>
        <w:widowControl/>
        <w:spacing w:before="140" w:after="60"/>
      </w:pPr>
      <w:r>
        <w:t>Artículo 116. Divulgación</w:t>
      </w:r>
    </w:p>
    <w:p>
      <w:pPr>
        <w:pStyle w:val="ArticleBody"/>
        <w:widowControl/>
        <w:jc w:val="both"/>
      </w:pPr>
      <w:r>
        <w:t>La versión vigente se entregará a directivos, fiscal, trabajadores y responsables de procesos, y estará disponible para consulta de asociados por un canal institucional.</w:t>
      </w:r>
    </w:p>
    <w:p>
      <w:pPr>
        <w:pStyle w:val="Heading2"/>
        <w:widowControl/>
        <w:spacing w:before="140" w:after="60"/>
      </w:pPr>
      <w:r>
        <w:t>Artículo 117. Vigencia</w:t>
      </w:r>
    </w:p>
    <w:p>
      <w:pPr>
        <w:pStyle w:val="ArticleBody"/>
        <w:widowControl/>
        <w:jc w:val="both"/>
      </w:pPr>
      <w:r>
        <w:t>El presente reglamento rige desde su aprobación y deroga reglamentos internos de Junta incompatibles con él, sin afectar actos válidamente celebrados ni normas especiales vigentes.</w:t>
      </w:r>
    </w:p>
    <w:p>
      <w:pPr>
        <w:pStyle w:val="ArticleBody"/>
        <w:widowControl/>
        <w:jc w:val="both"/>
      </w:pPr>
      <w:r>
        <w:t>APROBACIÓN</w:t>
      </w:r>
    </w:p>
    <w:p>
      <w:pPr>
        <w:pStyle w:val="ArticleBody"/>
        <w:widowControl/>
        <w:jc w:val="both"/>
      </w:pPr>
      <w:r>
        <w:t>Aprobado por la Junta Directiva de la Asociación de Padres de Familia del Liceo Francés de Pereira mediante Acta No. ____ del ____ de __________ de 2026.</w:t>
      </w:r>
    </w:p>
    <w:p>
      <w:pPr>
        <w:pStyle w:val="ArticleBody"/>
        <w:widowControl/>
        <w:jc w:val="both"/>
      </w:pPr>
      <w:r>
        <w:t>ANEXOS OPERATIVOS</w:t>
      </w:r>
    </w:p>
    <w:p>
      <w:pPr>
        <w:pStyle w:val="ArticleBody"/>
        <w:widowControl/>
        <w:jc w:val="both"/>
      </w:pPr>
      <w:r>
        <w:t>Los siguientes formatos forman parte del sistema de procedimientos y deberán adaptarse sin alterar las competencias legales o estatutarias.</w:t>
      </w:r>
    </w:p>
    <w:p>
      <w:pPr>
        <w:pStyle w:val="ArticleBody"/>
        <w:widowControl/>
        <w:jc w:val="both"/>
      </w:pPr>
      <w:r>
        <w:t>REFERENCIAS NORMATIVAS Y DOCUMENTALES</w:t>
      </w:r>
    </w:p>
    <w:p>
      <w:pPr>
        <w:pStyle w:val="ArticleBody"/>
        <w:widowControl/>
        <w:ind w:left="317" w:hanging="216"/>
        <w:jc w:val="both"/>
      </w:pPr>
      <w:r>
        <w:t>Constitución Política de Colombia, artículos 38 y 68.</w:t>
      </w:r>
    </w:p>
    <w:p>
      <w:pPr>
        <w:pStyle w:val="ArticleBody"/>
        <w:widowControl/>
        <w:ind w:left="317" w:hanging="216"/>
        <w:jc w:val="both"/>
      </w:pPr>
      <w:r>
        <w:t>Código Civil colombiano, disposiciones sobre personas jurídicas, corporaciones y asociaciones.</w:t>
      </w:r>
    </w:p>
    <w:p>
      <w:pPr>
        <w:pStyle w:val="ArticleBody"/>
        <w:widowControl/>
        <w:ind w:left="317" w:hanging="216"/>
        <w:jc w:val="both"/>
      </w:pPr>
      <w:r>
        <w:t>Ley 1098 de 2006, Código de la Infancia y la Adolescencia.</w:t>
      </w:r>
    </w:p>
    <w:p>
      <w:pPr>
        <w:pStyle w:val="ArticleBody"/>
        <w:widowControl/>
        <w:ind w:left="317" w:hanging="216"/>
        <w:jc w:val="both"/>
      </w:pPr>
      <w:r>
        <w:t>Ley 1581 de 2012 y normas reglamentarias sobre protección de datos personales.</w:t>
      </w:r>
    </w:p>
    <w:p>
      <w:pPr>
        <w:pStyle w:val="ArticleBody"/>
        <w:widowControl/>
        <w:jc w:val="both"/>
      </w:pPr>
      <w:r>
        <w:t>Decreto 1075 de 2015, Decreto Único Reglamentario del Sector Educación, disposiciones sobre participación y asociaciones de padres de familia.</w:t>
      </w:r>
    </w:p>
    <w:p>
      <w:pPr>
        <w:pStyle w:val="ArticleBody"/>
        <w:widowControl/>
        <w:ind w:left="317" w:hanging="216"/>
        <w:jc w:val="both"/>
      </w:pPr>
      <w:r>
        <w:t>Decreto 459 de 2024, participación de las familias en los procesos educativos.</w:t>
      </w:r>
    </w:p>
    <w:p>
      <w:pPr>
        <w:pStyle w:val="ArticleBody"/>
        <w:widowControl/>
        <w:jc w:val="both"/>
      </w:pPr>
      <w:r>
        <w:t>Estatutos vigentes de la Asociación de Padres de Familia del Liceo Francés de Pereira, inscritos en la Cámara de Comercio.</w:t>
      </w:r>
    </w:p>
    <w:p>
      <w:pPr>
        <w:pStyle w:val="ArticleBody"/>
        <w:widowControl/>
        <w:ind w:left="317" w:hanging="216"/>
        <w:jc w:val="both"/>
      </w:pPr>
      <w:r>
        <w:t>Certificado de existencia y representación legal vigente de ASOPADRES.</w:t>
      </w:r>
    </w:p>
    <w:p>
      <w:pPr>
        <w:pStyle w:val="ArticleBody"/>
        <w:widowControl/>
        <w:jc w:val="both"/>
      </w:pPr>
      <w:r>
        <w:t>Pronunciamientos de la Cámara de Comercio de Pereira sobre competencia, quórum, nombramientos, actas y registro.</w:t>
      </w:r>
    </w:p>
    <w:p>
      <w:pPr>
        <w:pStyle w:val="ArticleBody"/>
        <w:widowControl/>
        <w:jc w:val="both"/>
      </w:pPr>
      <w:r>
        <w:t>Advertencia: las referencias deberán verificarse nuevamente al momento de aprobación, especialmente si se han expedido modificaciones normativas o reformas estatutarias posteriores.</w:t>
      </w:r>
    </w:p>
    <w:p>
      <w:pPr>
        <w:widowControl/>
      </w:pPr>
      <w:r>
        <w:br w:type="page"/>
      </w:r>
    </w:p>
    <w:p>
      <w:pPr>
        <w:pStyle w:val="Heading1"/>
        <w:widowControl/>
        <w:spacing w:before="240" w:after="140"/>
        <w:jc w:val="left"/>
        <w:pBdr>
          <w:bottom w:val="single" w:sz="10" w:space="3" w:color="1F4E79"/>
        </w:pBdr>
      </w:pPr>
      <w:r>
        <w:t>ANEXOS OPERATIVOS</w:t>
      </w:r>
    </w:p>
    <w:tbl>
      <w:tblPr>
        <w:tblW w:type="auto" w:w="0"/>
        <w:jc w:val="center"/>
        <w:tblLayout w:type="autofit"/>
        <w:tblLook w:firstColumn="1" w:firstRow="1" w:lastColumn="0" w:lastRow="0" w:noHBand="0" w:noVBand="1" w:val="04A0"/>
      </w:tblPr>
      <w:tblGrid>
        <w:gridCol w:w="3312"/>
        <w:gridCol w:w="6336"/>
      </w:tblGrid>
      <w:tr>
        <w:trPr>
          <w:tblHeader w:val="true"/>
        </w:trPr>
        <w:tc>
          <w:tcPr>
            <w:tcW w:type="dxa" w:w="4824"/>
            <w:tcMar>
              <w:top w:w="75" w:type="dxa"/>
              <w:start w:w="90" w:type="dxa"/>
              <w:bottom w:w="75" w:type="dxa"/>
              <w:end w:w="90" w:type="dxa"/>
            </w:tcMar>
            <w:vAlign w:val="center"/>
            <w:shd w:fill="1F4E79"/>
          </w:tcPr>
          <w:p>
            <w:pPr>
              <w:spacing w:after="0"/>
              <w:jc w:val="left"/>
            </w:pPr>
            <w:r>
              <w:rPr>
                <w:rFonts w:ascii="Aptos" w:hAnsi="Aptos"/>
                <w:b/>
                <w:color w:val="FFFFFF"/>
                <w:sz w:val="16"/>
              </w:rPr>
              <w:t>FORMATO</w:t>
            </w:r>
          </w:p>
        </w:tc>
        <w:tc>
          <w:tcPr>
            <w:tcW w:type="dxa" w:w="4824"/>
            <w:tcMar>
              <w:top w:w="75" w:type="dxa"/>
              <w:start w:w="90" w:type="dxa"/>
              <w:bottom w:w="75" w:type="dxa"/>
              <w:end w:w="90" w:type="dxa"/>
            </w:tcMar>
            <w:vAlign w:val="center"/>
            <w:shd w:fill="1F4E79"/>
          </w:tcPr>
          <w:p>
            <w:pPr>
              <w:spacing w:after="0"/>
              <w:jc w:val="left"/>
            </w:pPr>
            <w:r>
              <w:rPr>
                <w:rFonts w:ascii="Aptos" w:hAnsi="Aptos"/>
                <w:b/>
                <w:color w:val="FFFFFF"/>
                <w:sz w:val="16"/>
              </w:rPr>
              <w:t>CONTENIDO MÍNIMO</w:t>
            </w:r>
          </w:p>
        </w:tc>
      </w:tr>
      <w:tr>
        <w:tc>
          <w:tcPr>
            <w:tcW w:type="dxa" w:w="4824"/>
            <w:tcMar>
              <w:top w:w="75" w:type="dxa"/>
              <w:start w:w="90" w:type="dxa"/>
              <w:bottom w:w="75" w:type="dxa"/>
              <w:end w:w="90" w:type="dxa"/>
            </w:tcMar>
            <w:vAlign w:val="center"/>
          </w:tcPr>
          <w:p>
            <w:pPr>
              <w:spacing w:after="0"/>
              <w:jc w:val="left"/>
            </w:pPr>
            <w:r>
              <w:rPr>
                <w:rFonts w:ascii="Aptos" w:hAnsi="Aptos"/>
                <w:sz w:val="16"/>
              </w:rPr>
              <w:t>Anexo 1. Formato de convocatoria de Junta</w:t>
            </w:r>
          </w:p>
        </w:tc>
        <w:tc>
          <w:tcPr>
            <w:tcW w:type="dxa" w:w="4824"/>
            <w:tcMar>
              <w:top w:w="75" w:type="dxa"/>
              <w:start w:w="90" w:type="dxa"/>
              <w:bottom w:w="75" w:type="dxa"/>
              <w:end w:w="90" w:type="dxa"/>
            </w:tcMar>
            <w:vAlign w:val="center"/>
          </w:tcPr>
          <w:p>
            <w:pPr>
              <w:spacing w:after="0"/>
              <w:jc w:val="left"/>
            </w:pPr>
            <w:r>
              <w:rPr>
                <w:rFonts w:ascii="Aptos" w:hAnsi="Aptos"/>
                <w:sz w:val="16"/>
              </w:rPr>
              <w:t>Fecha; convocante; modalidad; fecha/hora; orden del día; documentos; enlace; responsable.</w:t>
            </w:r>
          </w:p>
        </w:tc>
      </w:tr>
      <w:tr>
        <w:tc>
          <w:tcPr>
            <w:tcW w:type="dxa" w:w="4824"/>
            <w:tcMar>
              <w:top w:w="75" w:type="dxa"/>
              <w:start w:w="90" w:type="dxa"/>
              <w:bottom w:w="75" w:type="dxa"/>
              <w:end w:w="90" w:type="dxa"/>
            </w:tcMar>
            <w:vAlign w:val="center"/>
            <w:shd w:fill="F4F7FA"/>
          </w:tcPr>
          <w:p>
            <w:pPr>
              <w:spacing w:after="0"/>
              <w:jc w:val="left"/>
            </w:pPr>
            <w:r>
              <w:rPr>
                <w:rFonts w:ascii="Aptos" w:hAnsi="Aptos"/>
                <w:sz w:val="16"/>
              </w:rPr>
              <w:t>Anexo 2. Matriz de control de Asamblea</w:t>
            </w:r>
          </w:p>
        </w:tc>
        <w:tc>
          <w:tcPr>
            <w:tcW w:type="dxa" w:w="4824"/>
            <w:tcMar>
              <w:top w:w="75" w:type="dxa"/>
              <w:start w:w="90" w:type="dxa"/>
              <w:bottom w:w="75" w:type="dxa"/>
              <w:end w:w="90" w:type="dxa"/>
            </w:tcMar>
            <w:vAlign w:val="center"/>
            <w:shd w:fill="F4F7FA"/>
          </w:tcPr>
          <w:p>
            <w:pPr>
              <w:spacing w:after="0"/>
              <w:jc w:val="left"/>
            </w:pPr>
            <w:r>
              <w:rPr>
                <w:rFonts w:ascii="Aptos" w:hAnsi="Aptos"/>
                <w:sz w:val="16"/>
              </w:rPr>
              <w:t>Base de asociados; hábiles; poderes; asistentes; quórum por punto; hora; resultado.</w:t>
            </w:r>
          </w:p>
        </w:tc>
      </w:tr>
      <w:tr>
        <w:tc>
          <w:tcPr>
            <w:tcW w:type="dxa" w:w="4824"/>
            <w:tcMar>
              <w:top w:w="75" w:type="dxa"/>
              <w:start w:w="90" w:type="dxa"/>
              <w:bottom w:w="75" w:type="dxa"/>
              <w:end w:w="90" w:type="dxa"/>
            </w:tcMar>
            <w:vAlign w:val="center"/>
          </w:tcPr>
          <w:p>
            <w:pPr>
              <w:spacing w:after="0"/>
              <w:jc w:val="left"/>
            </w:pPr>
            <w:r>
              <w:rPr>
                <w:rFonts w:ascii="Aptos" w:hAnsi="Aptos"/>
                <w:sz w:val="16"/>
              </w:rPr>
              <w:t>Anexo 3. Formato de acta</w:t>
            </w:r>
          </w:p>
        </w:tc>
        <w:tc>
          <w:tcPr>
            <w:tcW w:type="dxa" w:w="4824"/>
            <w:tcMar>
              <w:top w:w="75" w:type="dxa"/>
              <w:start w:w="90" w:type="dxa"/>
              <w:bottom w:w="75" w:type="dxa"/>
              <w:end w:w="90" w:type="dxa"/>
            </w:tcMar>
            <w:vAlign w:val="center"/>
          </w:tcPr>
          <w:p>
            <w:pPr>
              <w:spacing w:after="0"/>
              <w:jc w:val="left"/>
            </w:pPr>
            <w:r>
              <w:rPr>
                <w:rFonts w:ascii="Aptos" w:hAnsi="Aptos"/>
                <w:sz w:val="16"/>
              </w:rPr>
              <w:t>Datos de reunión; convocatoria; asistentes; quórum; deliberaciones; propuestas; votos; decisiones; tareas; anexos; firmas.</w:t>
            </w:r>
          </w:p>
        </w:tc>
      </w:tr>
      <w:tr>
        <w:tc>
          <w:tcPr>
            <w:tcW w:type="dxa" w:w="4824"/>
            <w:tcMar>
              <w:top w:w="75" w:type="dxa"/>
              <w:start w:w="90" w:type="dxa"/>
              <w:bottom w:w="75" w:type="dxa"/>
              <w:end w:w="90" w:type="dxa"/>
            </w:tcMar>
            <w:vAlign w:val="center"/>
            <w:shd w:fill="F4F7FA"/>
          </w:tcPr>
          <w:p>
            <w:pPr>
              <w:spacing w:after="0"/>
              <w:jc w:val="left"/>
            </w:pPr>
            <w:r>
              <w:rPr>
                <w:rFonts w:ascii="Aptos" w:hAnsi="Aptos"/>
                <w:sz w:val="16"/>
              </w:rPr>
              <w:t>Anexo 4. Ficha de proyecto</w:t>
            </w:r>
          </w:p>
        </w:tc>
        <w:tc>
          <w:tcPr>
            <w:tcW w:type="dxa" w:w="4824"/>
            <w:tcMar>
              <w:top w:w="75" w:type="dxa"/>
              <w:start w:w="90" w:type="dxa"/>
              <w:bottom w:w="75" w:type="dxa"/>
              <w:end w:w="90" w:type="dxa"/>
            </w:tcMar>
            <w:vAlign w:val="center"/>
            <w:shd w:fill="F4F7FA"/>
          </w:tcPr>
          <w:p>
            <w:pPr>
              <w:spacing w:after="0"/>
              <w:jc w:val="left"/>
            </w:pPr>
            <w:r>
              <w:rPr>
                <w:rFonts w:ascii="Aptos" w:hAnsi="Aptos"/>
                <w:sz w:val="16"/>
              </w:rPr>
              <w:t>Problema; objetivo; beneficiarios; relación con objeto; alcance; presupuesto; permisos; riesgos; indicadores; cierre.</w:t>
            </w:r>
          </w:p>
        </w:tc>
      </w:tr>
      <w:tr>
        <w:tc>
          <w:tcPr>
            <w:tcW w:type="dxa" w:w="4824"/>
            <w:tcMar>
              <w:top w:w="75" w:type="dxa"/>
              <w:start w:w="90" w:type="dxa"/>
              <w:bottom w:w="75" w:type="dxa"/>
              <w:end w:w="90" w:type="dxa"/>
            </w:tcMar>
            <w:vAlign w:val="center"/>
          </w:tcPr>
          <w:p>
            <w:pPr>
              <w:spacing w:after="0"/>
              <w:jc w:val="left"/>
            </w:pPr>
            <w:r>
              <w:rPr>
                <w:rFonts w:ascii="Aptos" w:hAnsi="Aptos"/>
                <w:sz w:val="16"/>
              </w:rPr>
              <w:t>Anexo 5. Solicitud y evaluación de compra</w:t>
            </w:r>
          </w:p>
        </w:tc>
        <w:tc>
          <w:tcPr>
            <w:tcW w:type="dxa" w:w="4824"/>
            <w:tcMar>
              <w:top w:w="75" w:type="dxa"/>
              <w:start w:w="90" w:type="dxa"/>
              <w:bottom w:w="75" w:type="dxa"/>
              <w:end w:w="90" w:type="dxa"/>
            </w:tcMar>
            <w:vAlign w:val="center"/>
          </w:tcPr>
          <w:p>
            <w:pPr>
              <w:spacing w:after="0"/>
              <w:jc w:val="left"/>
            </w:pPr>
            <w:r>
              <w:rPr>
                <w:rFonts w:ascii="Aptos" w:hAnsi="Aptos"/>
                <w:sz w:val="16"/>
              </w:rPr>
              <w:t>Necesidad; presupuesto; cotizaciones; evaluación; conflicto; aprobación; supervisor; soporte.</w:t>
            </w:r>
          </w:p>
        </w:tc>
      </w:tr>
      <w:tr>
        <w:tc>
          <w:tcPr>
            <w:tcW w:type="dxa" w:w="4824"/>
            <w:tcMar>
              <w:top w:w="75" w:type="dxa"/>
              <w:start w:w="90" w:type="dxa"/>
              <w:bottom w:w="75" w:type="dxa"/>
              <w:end w:w="90" w:type="dxa"/>
            </w:tcMar>
            <w:vAlign w:val="center"/>
            <w:shd w:fill="F4F7FA"/>
          </w:tcPr>
          <w:p>
            <w:pPr>
              <w:spacing w:after="0"/>
              <w:jc w:val="left"/>
            </w:pPr>
            <w:r>
              <w:rPr>
                <w:rFonts w:ascii="Aptos" w:hAnsi="Aptos"/>
                <w:sz w:val="16"/>
              </w:rPr>
              <w:t>Anexo 6. Declaración de conflicto de interés</w:t>
            </w:r>
          </w:p>
        </w:tc>
        <w:tc>
          <w:tcPr>
            <w:tcW w:type="dxa" w:w="4824"/>
            <w:tcMar>
              <w:top w:w="75" w:type="dxa"/>
              <w:start w:w="90" w:type="dxa"/>
              <w:bottom w:w="75" w:type="dxa"/>
              <w:end w:w="90" w:type="dxa"/>
            </w:tcMar>
            <w:vAlign w:val="center"/>
            <w:shd w:fill="F4F7FA"/>
          </w:tcPr>
          <w:p>
            <w:pPr>
              <w:spacing w:after="0"/>
              <w:jc w:val="left"/>
            </w:pPr>
            <w:r>
              <w:rPr>
                <w:rFonts w:ascii="Aptos" w:hAnsi="Aptos"/>
                <w:sz w:val="16"/>
              </w:rPr>
              <w:t>Declarante; vínculo; asunto; naturaleza; fecha; medida; firma.</w:t>
            </w:r>
          </w:p>
        </w:tc>
      </w:tr>
      <w:tr>
        <w:tc>
          <w:tcPr>
            <w:tcW w:type="dxa" w:w="4824"/>
            <w:tcMar>
              <w:top w:w="75" w:type="dxa"/>
              <w:start w:w="90" w:type="dxa"/>
              <w:bottom w:w="75" w:type="dxa"/>
              <w:end w:w="90" w:type="dxa"/>
            </w:tcMar>
            <w:vAlign w:val="center"/>
          </w:tcPr>
          <w:p>
            <w:pPr>
              <w:spacing w:after="0"/>
              <w:jc w:val="left"/>
            </w:pPr>
            <w:r>
              <w:rPr>
                <w:rFonts w:ascii="Aptos" w:hAnsi="Aptos"/>
                <w:sz w:val="16"/>
              </w:rPr>
              <w:t>Anexo 7. Acta de entrega de bienes</w:t>
            </w:r>
          </w:p>
        </w:tc>
        <w:tc>
          <w:tcPr>
            <w:tcW w:type="dxa" w:w="4824"/>
            <w:tcMar>
              <w:top w:w="75" w:type="dxa"/>
              <w:start w:w="90" w:type="dxa"/>
              <w:bottom w:w="75" w:type="dxa"/>
              <w:end w:w="90" w:type="dxa"/>
            </w:tcMar>
            <w:vAlign w:val="center"/>
          </w:tcPr>
          <w:p>
            <w:pPr>
              <w:spacing w:after="0"/>
              <w:jc w:val="left"/>
            </w:pPr>
            <w:r>
              <w:rPr>
                <w:rFonts w:ascii="Aptos" w:hAnsi="Aptos"/>
                <w:sz w:val="16"/>
              </w:rPr>
              <w:t>Bien; valor; estado; serial; propiedad; ubicación; mantenimiento; garantías; firmas.</w:t>
            </w:r>
          </w:p>
        </w:tc>
      </w:tr>
      <w:tr>
        <w:tc>
          <w:tcPr>
            <w:tcW w:type="dxa" w:w="4824"/>
            <w:tcMar>
              <w:top w:w="75" w:type="dxa"/>
              <w:start w:w="90" w:type="dxa"/>
              <w:bottom w:w="75" w:type="dxa"/>
              <w:end w:w="90" w:type="dxa"/>
            </w:tcMar>
            <w:vAlign w:val="center"/>
            <w:shd w:fill="F4F7FA"/>
          </w:tcPr>
          <w:p>
            <w:pPr>
              <w:spacing w:after="0"/>
              <w:jc w:val="left"/>
            </w:pPr>
            <w:r>
              <w:rPr>
                <w:rFonts w:ascii="Aptos" w:hAnsi="Aptos"/>
                <w:sz w:val="16"/>
              </w:rPr>
              <w:t>Anexo 8. Formato de empalme</w:t>
            </w:r>
          </w:p>
        </w:tc>
        <w:tc>
          <w:tcPr>
            <w:tcW w:type="dxa" w:w="4824"/>
            <w:tcMar>
              <w:top w:w="75" w:type="dxa"/>
              <w:start w:w="90" w:type="dxa"/>
              <w:bottom w:w="75" w:type="dxa"/>
              <w:end w:w="90" w:type="dxa"/>
            </w:tcMar>
            <w:vAlign w:val="center"/>
            <w:shd w:fill="F4F7FA"/>
          </w:tcPr>
          <w:p>
            <w:pPr>
              <w:spacing w:after="0"/>
              <w:jc w:val="left"/>
            </w:pPr>
            <w:r>
              <w:rPr>
                <w:rFonts w:ascii="Aptos" w:hAnsi="Aptos"/>
                <w:sz w:val="16"/>
              </w:rPr>
              <w:t>Documentos; finanzas; contratos; inventarios; proyectos; claves; datos; litigios; pendientes; firmas.</w:t>
            </w:r>
          </w:p>
        </w:tc>
      </w:tr>
      <w:tr>
        <w:tc>
          <w:tcPr>
            <w:tcW w:type="dxa" w:w="4824"/>
            <w:tcMar>
              <w:top w:w="75" w:type="dxa"/>
              <w:start w:w="90" w:type="dxa"/>
              <w:bottom w:w="75" w:type="dxa"/>
              <w:end w:w="90" w:type="dxa"/>
            </w:tcMar>
            <w:vAlign w:val="center"/>
          </w:tcPr>
          <w:p>
            <w:pPr>
              <w:spacing w:after="0"/>
              <w:jc w:val="left"/>
            </w:pPr>
            <w:r>
              <w:rPr>
                <w:rFonts w:ascii="Aptos" w:hAnsi="Aptos"/>
                <w:sz w:val="16"/>
              </w:rPr>
              <w:t>Anexo 9. Matriz de compromisos</w:t>
            </w:r>
          </w:p>
        </w:tc>
        <w:tc>
          <w:tcPr>
            <w:tcW w:type="dxa" w:w="4824"/>
            <w:tcMar>
              <w:top w:w="75" w:type="dxa"/>
              <w:start w:w="90" w:type="dxa"/>
              <w:bottom w:w="75" w:type="dxa"/>
              <w:end w:w="90" w:type="dxa"/>
            </w:tcMar>
            <w:vAlign w:val="center"/>
          </w:tcPr>
          <w:p>
            <w:pPr>
              <w:spacing w:after="0"/>
              <w:jc w:val="left"/>
            </w:pPr>
            <w:r>
              <w:rPr>
                <w:rFonts w:ascii="Aptos" w:hAnsi="Aptos"/>
                <w:sz w:val="16"/>
              </w:rPr>
              <w:t>Acta; decisión; actividad; responsable; fecha; evidencia; estado.</w:t>
            </w:r>
          </w:p>
        </w:tc>
      </w:tr>
      <w:tr>
        <w:tc>
          <w:tcPr>
            <w:tcW w:type="dxa" w:w="4824"/>
            <w:tcMar>
              <w:top w:w="75" w:type="dxa"/>
              <w:start w:w="90" w:type="dxa"/>
              <w:bottom w:w="75" w:type="dxa"/>
              <w:end w:w="90" w:type="dxa"/>
            </w:tcMar>
            <w:vAlign w:val="center"/>
            <w:shd w:fill="F4F7FA"/>
          </w:tcPr>
          <w:p>
            <w:pPr>
              <w:spacing w:after="0"/>
              <w:jc w:val="left"/>
            </w:pPr>
            <w:r>
              <w:rPr>
                <w:rFonts w:ascii="Aptos" w:hAnsi="Aptos"/>
                <w:sz w:val="16"/>
              </w:rPr>
              <w:t>Anexo 10. Registro de incidentes de datos</w:t>
            </w:r>
          </w:p>
        </w:tc>
        <w:tc>
          <w:tcPr>
            <w:tcW w:type="dxa" w:w="4824"/>
            <w:tcMar>
              <w:top w:w="75" w:type="dxa"/>
              <w:start w:w="90" w:type="dxa"/>
              <w:bottom w:w="75" w:type="dxa"/>
              <w:end w:w="90" w:type="dxa"/>
            </w:tcMar>
            <w:vAlign w:val="center"/>
            <w:shd w:fill="F4F7FA"/>
          </w:tcPr>
          <w:p>
            <w:pPr>
              <w:spacing w:after="0"/>
              <w:jc w:val="left"/>
            </w:pPr>
            <w:r>
              <w:rPr>
                <w:rFonts w:ascii="Aptos" w:hAnsi="Aptos"/>
                <w:sz w:val="16"/>
              </w:rPr>
              <w:t>Fecha; base afectada; descripción; datos; medidas; notificaciones; cierre.</w:t>
            </w:r>
          </w:p>
        </w:tc>
      </w:tr>
    </w:tbl>
    <w:p>
      <w:pPr>
        <w:widowControl/>
      </w:pPr>
      <w:r>
        <w:br w:type="page"/>
      </w:r>
    </w:p>
    <w:p>
      <w:pPr>
        <w:pStyle w:val="Heading1"/>
        <w:widowControl/>
        <w:spacing w:before="240" w:after="140"/>
        <w:jc w:val="left"/>
        <w:pBdr>
          <w:bottom w:val="single" w:sz="10" w:space="3" w:color="1F4E79"/>
        </w:pBdr>
      </w:pPr>
      <w:r>
        <w:t>APROBACIÓN Y VIGENCIA</w:t>
      </w:r>
    </w:p>
    <w:p>
      <w:pPr>
        <w:pStyle w:val="ArticleBody"/>
        <w:widowControl/>
        <w:jc w:val="both"/>
      </w:pPr>
      <w:r>
        <w:t>El presente reglamento fue aprobado por la Junta Directiva de ASOPADRES mediante Acta No. ____ del ____ de __________ de 2026 y entrará en vigencia a partir de su aprobación, sin perjuicio de las disposiciones legales y estatutarias de superior jerarquía.</w:t>
      </w:r>
    </w:p>
    <w:tbl>
      <w:tblPr>
        <w:tblW w:type="auto" w:w="0"/>
        <w:jc w:val="center"/>
        <w:tblLayout w:type="autofit"/>
        <w:tblLook w:firstColumn="1" w:firstRow="1" w:lastColumn="0" w:lastRow="0" w:noHBand="0" w:noVBand="1" w:val="04A0"/>
      </w:tblPr>
      <w:tblGrid>
        <w:gridCol w:w="4608"/>
        <w:gridCol w:w="4608"/>
      </w:tblGrid>
      <w:tr>
        <w:trPr>
          <w:tblHeader w:val="true"/>
        </w:trPr>
        <w:tc>
          <w:tcPr>
            <w:tcW w:type="dxa" w:w="4824"/>
            <w:tcMar>
              <w:top w:w="75" w:type="dxa"/>
              <w:start w:w="90" w:type="dxa"/>
              <w:bottom w:w="75" w:type="dxa"/>
              <w:end w:w="90" w:type="dxa"/>
            </w:tcMar>
            <w:shd w:fill="1F4E79"/>
          </w:tcPr>
          <w:p>
            <w:pPr>
              <w:spacing w:after="0"/>
              <w:jc w:val="left"/>
            </w:pPr>
            <w:r>
              <w:rPr>
                <w:rFonts w:ascii="Aptos" w:hAnsi="Aptos"/>
                <w:b/>
                <w:color w:val="FFFFFF"/>
                <w:sz w:val="16"/>
              </w:rPr>
              <w:t>Presidente / Representante legal</w:t>
            </w:r>
          </w:p>
        </w:tc>
        <w:tc>
          <w:tcPr>
            <w:tcW w:type="dxa" w:w="4824"/>
            <w:tcMar>
              <w:top w:w="75" w:type="dxa"/>
              <w:start w:w="90" w:type="dxa"/>
              <w:bottom w:w="75" w:type="dxa"/>
              <w:end w:w="90" w:type="dxa"/>
            </w:tcMar>
            <w:shd w:fill="1F4E79"/>
          </w:tcPr>
          <w:p>
            <w:pPr>
              <w:spacing w:after="0"/>
              <w:jc w:val="left"/>
            </w:pPr>
            <w:r>
              <w:rPr>
                <w:rFonts w:ascii="Aptos" w:hAnsi="Aptos"/>
                <w:b/>
                <w:color w:val="FFFFFF"/>
                <w:sz w:val="16"/>
              </w:rPr>
              <w:t>Secretario(a)</w:t>
            </w:r>
          </w:p>
        </w:tc>
      </w:tr>
      <w:tr>
        <w:tc>
          <w:tcPr>
            <w:tcW w:type="dxa" w:w="4824"/>
            <w:tcMar>
              <w:top w:w="75" w:type="dxa"/>
              <w:start w:w="90" w:type="dxa"/>
              <w:bottom w:w="75" w:type="dxa"/>
              <w:end w:w="90" w:type="dxa"/>
            </w:tcMar>
          </w:tcPr>
          <w:p>
            <w:pPr>
              <w:spacing w:after="0"/>
              <w:jc w:val="left"/>
            </w:pPr>
            <w:r>
              <w:rPr>
                <w:rFonts w:ascii="Aptos" w:hAnsi="Aptos"/>
                <w:b w:val="0"/>
                <w:color w:val="282828"/>
                <w:sz w:val="16"/>
              </w:rPr>
              <w:t>Nombre: __________________________</w:t>
            </w:r>
          </w:p>
        </w:tc>
        <w:tc>
          <w:tcPr>
            <w:tcW w:type="dxa" w:w="4824"/>
            <w:tcMar>
              <w:top w:w="75" w:type="dxa"/>
              <w:start w:w="90" w:type="dxa"/>
              <w:bottom w:w="75" w:type="dxa"/>
              <w:end w:w="90" w:type="dxa"/>
            </w:tcMar>
          </w:tcPr>
          <w:p>
            <w:pPr>
              <w:spacing w:after="0"/>
              <w:jc w:val="left"/>
            </w:pPr>
            <w:r>
              <w:rPr>
                <w:rFonts w:ascii="Aptos" w:hAnsi="Aptos"/>
                <w:b w:val="0"/>
                <w:color w:val="282828"/>
                <w:sz w:val="16"/>
              </w:rPr>
              <w:t>Nombre: __________________________</w:t>
            </w:r>
          </w:p>
        </w:tc>
      </w:tr>
      <w:tr>
        <w:tc>
          <w:tcPr>
            <w:tcW w:type="dxa" w:w="4824"/>
            <w:tcMar>
              <w:top w:w="75" w:type="dxa"/>
              <w:start w:w="90" w:type="dxa"/>
              <w:bottom w:w="75" w:type="dxa"/>
              <w:end w:w="90" w:type="dxa"/>
            </w:tcMar>
            <w:shd w:fill="F4F7FA"/>
          </w:tcPr>
          <w:p>
            <w:pPr>
              <w:spacing w:after="0"/>
              <w:jc w:val="left"/>
            </w:pPr>
            <w:r>
              <w:rPr>
                <w:rFonts w:ascii="Aptos" w:hAnsi="Aptos"/>
                <w:b w:val="0"/>
                <w:color w:val="282828"/>
                <w:sz w:val="16"/>
              </w:rPr>
              <w:t>Firma: ___________________________</w:t>
            </w:r>
          </w:p>
        </w:tc>
        <w:tc>
          <w:tcPr>
            <w:tcW w:type="dxa" w:w="4824"/>
            <w:tcMar>
              <w:top w:w="75" w:type="dxa"/>
              <w:start w:w="90" w:type="dxa"/>
              <w:bottom w:w="75" w:type="dxa"/>
              <w:end w:w="90" w:type="dxa"/>
            </w:tcMar>
            <w:shd w:fill="F4F7FA"/>
          </w:tcPr>
          <w:p>
            <w:pPr>
              <w:spacing w:after="0"/>
              <w:jc w:val="left"/>
            </w:pPr>
            <w:r>
              <w:rPr>
                <w:rFonts w:ascii="Aptos" w:hAnsi="Aptos"/>
                <w:b w:val="0"/>
                <w:color w:val="282828"/>
                <w:sz w:val="16"/>
              </w:rPr>
              <w:t>Firma: ___________________________</w:t>
            </w:r>
          </w:p>
        </w:tc>
      </w:tr>
      <w:tr>
        <w:tc>
          <w:tcPr>
            <w:tcW w:type="dxa" w:w="4824"/>
            <w:tcMar>
              <w:top w:w="75" w:type="dxa"/>
              <w:start w:w="90" w:type="dxa"/>
              <w:bottom w:w="75" w:type="dxa"/>
              <w:end w:w="90" w:type="dxa"/>
            </w:tcMar>
          </w:tcPr>
          <w:p>
            <w:pPr>
              <w:spacing w:after="0"/>
              <w:jc w:val="left"/>
            </w:pPr>
            <w:r>
              <w:rPr>
                <w:rFonts w:ascii="Aptos" w:hAnsi="Aptos"/>
                <w:b w:val="0"/>
                <w:color w:val="282828"/>
                <w:sz w:val="16"/>
              </w:rPr>
              <w:t>Fecha: ___________________________</w:t>
            </w:r>
          </w:p>
        </w:tc>
        <w:tc>
          <w:tcPr>
            <w:tcW w:type="dxa" w:w="4824"/>
            <w:tcMar>
              <w:top w:w="75" w:type="dxa"/>
              <w:start w:w="90" w:type="dxa"/>
              <w:bottom w:w="75" w:type="dxa"/>
              <w:end w:w="90" w:type="dxa"/>
            </w:tcMar>
          </w:tcPr>
          <w:p>
            <w:pPr>
              <w:spacing w:after="0"/>
              <w:jc w:val="left"/>
            </w:pPr>
            <w:r>
              <w:rPr>
                <w:rFonts w:ascii="Aptos" w:hAnsi="Aptos"/>
                <w:b w:val="0"/>
                <w:color w:val="282828"/>
                <w:sz w:val="16"/>
              </w:rPr>
              <w:t>Fecha: ___________________________</w:t>
            </w:r>
          </w:p>
        </w:tc>
      </w:tr>
    </w:tbl>
    <w:p>
      <w:pPr>
        <w:pStyle w:val="SmallNote"/>
        <w:widowControl/>
        <w:spacing w:before="360"/>
      </w:pPr>
      <w:r>
        <w:t>Constancia del fiscal: la firma del fiscal acredita conocimiento del acto de aprobación, sin que implique participación en la administración ni sustitución de sus funciones de vigilancia.</w:t>
      </w:r>
    </w:p>
    <w:sectPr w:rsidR="00FC693F" w:rsidRPr="0006063C" w:rsidSect="00034616">
      <w:headerReference w:type="default" r:id="rId9"/>
      <w:footerReference w:type="default" r:id="rId10"/>
      <w:pgSz w:w="12240" w:h="15840"/>
      <w:pgMar w:top="936" w:right="1080" w:bottom="936" w:left="1080" w:header="36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ook w:firstColumn="1" w:firstRow="1" w:lastColumn="0" w:lastRow="0" w:noHBand="0" w:noVBand="1" w:val="04A0"/>
    </w:tblPr>
    <w:tblGrid>
      <w:gridCol w:w="5040"/>
      <w:gridCol w:w="5040"/>
    </w:tblGrid>
    <w:tr>
      <w:tc>
        <w:tcPr>
          <w:tcW w:type="dxa" w:w="5040"/>
          <w:tcBorders>
            <w:top w:val="single" w:sz="6" w:color="D9E1F2"/>
          </w:tcBorders>
        </w:tcPr>
        <w:p>
          <w:r>
            <w:rPr>
              <w:color w:val="5B6573"/>
              <w:sz w:val="14"/>
            </w:rPr>
            <w:t>Documento controlado - Uso institucional de ASOPADRES</w:t>
          </w:r>
        </w:p>
      </w:tc>
      <w:tc>
        <w:tcPr>
          <w:tcW w:type="dxa" w:w="5040"/>
          <w:tcBorders>
            <w:top w:val="single" w:sz="6" w:color="D9E1F2"/>
          </w:tcBorders>
        </w:tcPr>
        <w:p>
          <w:pPr>
            <w:jc w:val="right"/>
          </w:pPr>
          <w:r>
            <w:rPr>
              <w:color w:val="5B6573"/>
              <w:sz w:val="14"/>
            </w:rPr>
            <w:t xml:space="preserve">Página </w:t>
            <w:fldChar w:fldCharType="begin"/>
            <w:instrText xml:space="preserve">PAGE</w:instrText>
            <w:fldChar w:fldCharType="end"/>
            <w:t xml:space="preserve"> de </w:t>
            <w:fldChar w:fldCharType="begin"/>
            <w:instrText xml:space="preserve">NUMPAGES</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ook w:firstColumn="1" w:firstRow="1" w:lastColumn="0" w:lastRow="0" w:noHBand="0" w:noVBand="1" w:val="04A0"/>
    </w:tblPr>
    <w:tblGrid>
      <w:gridCol w:w="1008"/>
      <w:gridCol w:w="8640"/>
    </w:tblGrid>
    <w:tr>
      <w:tc>
        <w:tcPr>
          <w:tcW w:type="dxa" w:w="4824"/>
          <w:tcMar>
            <w:top w:w="20" w:type="dxa"/>
            <w:start w:w="30" w:type="dxa"/>
            <w:bottom w:w="20" w:type="dxa"/>
            <w:end w:w="30" w:type="dxa"/>
          </w:tcMar>
          <w:tcBorders>
            <w:bottom w:val="single" w:sz="5" w:color="1F4E79"/>
          </w:tcBorders>
        </w:tcPr>
        <w:p>
          <w:pPr>
            <w:jc w:val="left"/>
          </w:pPr>
          <w:r>
            <w:drawing>
              <wp:inline xmlns:a="http://schemas.openxmlformats.org/drawingml/2006/main" xmlns:pic="http://schemas.openxmlformats.org/drawingml/2006/picture">
                <wp:extent cx="438912" cy="438912"/>
                <wp:docPr id="1" name="Picture 1"/>
                <wp:cNvGraphicFramePr>
                  <a:graphicFrameLocks noChangeAspect="1"/>
                </wp:cNvGraphicFramePr>
                <a:graphic>
                  <a:graphicData uri="http://schemas.openxmlformats.org/drawingml/2006/picture">
                    <pic:pic>
                      <pic:nvPicPr>
                        <pic:cNvPr id="0" name="a NUEVO LOGO DE ASOPADRESPruebaWeb_Mesa de trabajo 1.png"/>
                        <pic:cNvPicPr/>
                      </pic:nvPicPr>
                      <pic:blipFill>
                        <a:blip r:embed="rId1"/>
                        <a:stretch>
                          <a:fillRect/>
                        </a:stretch>
                      </pic:blipFill>
                      <pic:spPr>
                        <a:xfrm>
                          <a:off x="0" y="0"/>
                          <a:ext cx="438912" cy="438912"/>
                        </a:xfrm>
                        <a:prstGeom prst="rect"/>
                      </pic:spPr>
                    </pic:pic>
                  </a:graphicData>
                </a:graphic>
              </wp:inline>
            </w:drawing>
          </w:r>
        </w:p>
      </w:tc>
      <w:tc>
        <w:tcPr>
          <w:tcW w:type="dxa" w:w="4824"/>
          <w:tcMar>
            <w:top w:w="20" w:type="dxa"/>
            <w:start w:w="30" w:type="dxa"/>
            <w:bottom w:w="20" w:type="dxa"/>
            <w:end w:w="30" w:type="dxa"/>
          </w:tcMar>
          <w:tcBorders>
            <w:bottom w:val="single" w:sz="5" w:color="1F4E79"/>
          </w:tcBorders>
        </w:tcPr>
        <w:p>
          <w:pPr>
            <w:jc w:val="right"/>
          </w:pPr>
          <w:r>
            <w:rPr>
              <w:rFonts w:ascii="Aptos" w:hAnsi="Aptos"/>
              <w:b/>
              <w:color w:val="164478"/>
              <w:sz w:val="15"/>
            </w:rPr>
            <w:t>ASOCIACIÓN DE PADRES DE FAMILIA DEL LICEO FRANCÉS DE PEREIRA</w:t>
          </w:r>
        </w:p>
      </w:tc>
    </w:tr>
  </w:tbl>
  <w:tbl>
    <w:tblPr>
      <w:tblW w:type="auto" w:w="0"/>
      <w:jc w:val="center"/>
      <w:tblLook w:firstColumn="1" w:firstRow="1" w:lastColumn="0" w:lastRow="0" w:noHBand="0" w:noVBand="1" w:val="04A0"/>
    </w:tblPr>
    <w:tblGrid>
      <w:gridCol w:w="6912"/>
      <w:gridCol w:w="3168"/>
    </w:tblGrid>
    <w:tr>
      <w:tc>
        <w:tcPr>
          <w:tcW w:type="dxa" w:w="5040"/>
          <w:tcMar>
            <w:top w:w="30" w:type="dxa"/>
            <w:start w:w="40" w:type="dxa"/>
            <w:bottom w:w="30" w:type="dxa"/>
            <w:end w:w="40" w:type="dxa"/>
          </w:tcMar>
          <w:tcBorders>
            <w:bottom w:val="single" w:sz="8" w:color="1F4E79"/>
          </w:tcBorders>
        </w:tcPr>
        <w:p>
          <w:pPr>
            <w:jc w:val="left"/>
          </w:pPr>
          <w:r>
            <w:drawing>
              <wp:inline xmlns:a="http://schemas.openxmlformats.org/drawingml/2006/main" xmlns:pic="http://schemas.openxmlformats.org/drawingml/2006/picture">
                <wp:extent cx="566928" cy="566928"/>
                <wp:docPr id="2" name="Picture 2"/>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566928" cy="566928"/>
                        </a:xfrm>
                        <a:prstGeom prst="rect"/>
                      </pic:spPr>
                    </pic:pic>
                  </a:graphicData>
                </a:graphic>
              </wp:inline>
            </w:drawing>
          </w:r>
          <w:r>
            <w:rPr>
              <w:rFonts w:ascii="Aptos" w:hAnsi="Aptos"/>
              <w:b/>
              <w:color w:val="17365D"/>
              <w:sz w:val="14"/>
            </w:rPr>
            <w:t xml:space="preserve">  ASOCIACIÓN DE PADRES DE FAMILIA</w:t>
            <w:br/>
            <w:t xml:space="preserve">  LICEO FRANCÉS DE PEREIRA</w:t>
          </w:r>
        </w:p>
      </w:tc>
      <w:tc>
        <w:tcPr>
          <w:tcW w:type="dxa" w:w="5040"/>
          <w:tcMar>
            <w:top w:w="30" w:type="dxa"/>
            <w:start w:w="40" w:type="dxa"/>
            <w:bottom w:w="30" w:type="dxa"/>
            <w:end w:w="40" w:type="dxa"/>
          </w:tcMar>
          <w:tcBorders>
            <w:bottom w:val="single" w:sz="8" w:color="1F4E79"/>
          </w:tcBorders>
        </w:tcPr>
        <w:p>
          <w:pPr>
            <w:jc w:val="right"/>
          </w:pPr>
          <w:r>
            <w:rPr>
              <w:color w:val="5B6573"/>
              <w:sz w:val="14"/>
            </w:rPr>
            <w:t>Código: ASO-RGL-001</w:t>
            <w:br/>
            <w:t>Versión: 1.0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jc w:val="both"/>
    </w:pPr>
    <w:rPr>
      <w:rFonts w:ascii="Aptos" w:hAnsi="Aptos" w:eastAsia="Aptos"/>
      <w:color w:val="22222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eastAsia="Aptos Display"/>
      <w:b/>
      <w:bCs/>
      <w:color w:val="17365D"/>
      <w:sz w:val="2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eastAsia="Aptos Display"/>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eastAsia="Aptos Display"/>
      <w:b/>
      <w:bCs/>
      <w:color w:val="1F4E79"/>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64478"/>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20"/>
    </w:pPr>
    <w:rPr>
      <w:rFonts w:asciiTheme="majorHAnsi" w:eastAsiaTheme="majorEastAsia" w:hAnsiTheme="majorHAnsi" w:cstheme="majorBidi" w:ascii="Aptos" w:hAnsi="Aptos"/>
      <w:b/>
      <w:i/>
      <w:iCs/>
      <w:color w:val="282828"/>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Preamble">
    <w:name w:val="Legal Preamble"/>
    <w:pPr>
      <w:spacing w:after="100" w:line="259" w:lineRule="auto"/>
      <w:jc w:val="both"/>
    </w:pPr>
    <w:rPr>
      <w:rFonts w:ascii="Aptos" w:hAnsi="Aptos" w:eastAsia="Aptos"/>
      <w:color w:val="222222"/>
      <w:sz w:val="19"/>
    </w:rPr>
  </w:style>
  <w:style w:type="paragraph" w:customStyle="1" w:styleId="ArticleBody">
    <w:name w:val="Article Body"/>
    <w:pPr>
      <w:spacing w:after="100" w:line="259" w:lineRule="auto"/>
      <w:jc w:val="both"/>
    </w:pPr>
    <w:rPr>
      <w:rFonts w:ascii="Aptos" w:hAnsi="Aptos" w:eastAsia="Aptos"/>
      <w:color w:val="222222"/>
      <w:sz w:val="19"/>
    </w:rPr>
  </w:style>
  <w:style w:type="paragraph" w:customStyle="1" w:styleId="SmallNote">
    <w:name w:val="Small Note"/>
    <w:pPr>
      <w:spacing w:after="60"/>
    </w:pPr>
    <w:rPr>
      <w:rFonts w:ascii="Aptos" w:hAnsi="Aptos"/>
      <w:i/>
      <w:color w:val="5B6573"/>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Interno de ASOPADRES</dc:title>
  <dc:subject>Gobierno, administración y procedimientos internos</dc:subject>
  <dc:creator>Asociación de Padres de Familia del Liceo Francés de Pereira</dc:creator>
  <cp:keywords>ASOPADRES, reglamento interno, gobierno, procedimientos</cp:keywords>
  <dc:description>Versión editorial profesional para aprobación institucional.</dc:description>
  <cp:lastModifiedBy/>
  <cp:revision>1</cp:revision>
  <dcterms:created xsi:type="dcterms:W3CDTF">2013-12-23T23:15:00Z</dcterms:created>
  <dcterms:modified xsi:type="dcterms:W3CDTF">2013-12-23T23:15:00Z</dcterms:modified>
  <cp:category/>
</cp:coreProperties>
</file>