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0"/>
        <w:jc w:val="center"/>
      </w:pPr>
      <w:r>
        <w:rPr>
          <w:rFonts w:ascii="Aptos" w:hAnsi="Aptos" w:eastAsia="Aptos"/>
          <w:b/>
          <w:i w:val="0"/>
          <w:color w:val="1F4E78"/>
          <w:sz w:val="40"/>
        </w:rPr>
        <w:t>PROCEDIMIENTO DE GESTIÓN</w:t>
      </w:r>
    </w:p>
    <w:p>
      <w:pPr>
        <w:spacing w:after="0"/>
        <w:jc w:val="center"/>
      </w:pPr>
      <w:r>
        <w:rPr>
          <w:rFonts w:ascii="Aptos" w:hAnsi="Aptos" w:eastAsia="Aptos"/>
          <w:b/>
          <w:i w:val="0"/>
          <w:color w:val="1F4E78"/>
          <w:sz w:val="40"/>
        </w:rPr>
        <w:t>ADMINISTRATIVA Y COMUNICACIONES</w:t>
      </w:r>
    </w:p>
    <w:p>
      <w:pPr>
        <w:spacing w:after="240"/>
        <w:jc w:val="center"/>
      </w:pPr>
      <w:r>
        <w:rPr>
          <w:rFonts w:ascii="Aptos" w:hAnsi="Aptos" w:eastAsia="Aptos"/>
          <w:b w:val="0"/>
          <w:i w:val="0"/>
          <w:color w:val="1F1F1F"/>
          <w:sz w:val="23"/>
        </w:rPr>
        <w:t>Auxiliar Administrativa - ASOPADRES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B8C4D3"/>
          <w:left w:val="single" w:sz="4" w:color="B8C4D3"/>
          <w:bottom w:val="single" w:sz="4" w:color="B8C4D3"/>
          <w:right w:val="single" w:sz="4" w:color="B8C4D3"/>
          <w:insideH w:val="single" w:sz="4" w:color="B8C4D3"/>
          <w:insideV w:val="single" w:sz="4" w:color="B8C4D3"/>
        </w:tblBorders>
      </w:tblPr>
      <w:tblGrid>
        <w:gridCol w:w="1656"/>
        <w:gridCol w:w="3240"/>
        <w:gridCol w:w="1656"/>
        <w:gridCol w:w="3240"/>
      </w:tblGrid>
      <w:tr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173F73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Código</w:t>
            </w:r>
          </w:p>
        </w:tc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ASO-PRC-001</w:t>
            </w:r>
          </w:p>
        </w:tc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173F73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Versión</w:t>
            </w:r>
          </w:p>
        </w:tc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2.0</w:t>
            </w:r>
          </w:p>
        </w:tc>
      </w:tr>
      <w:tr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173F73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Proceso</w:t>
            </w:r>
          </w:p>
        </w:tc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Gestión administrativa</w:t>
            </w:r>
          </w:p>
        </w:tc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173F73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Estado</w:t>
            </w:r>
          </w:p>
        </w:tc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Borrador para aprobación</w:t>
            </w:r>
          </w:p>
        </w:tc>
      </w:tr>
      <w:tr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173F73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Responsable</w:t>
            </w:r>
          </w:p>
        </w:tc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Junta Directiva</w:t>
            </w:r>
          </w:p>
        </w:tc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173F73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Ejecuta</w:t>
            </w:r>
          </w:p>
        </w:tc>
        <w:tc>
          <w:tcPr>
            <w:tcW w:type="dxa" w:w="2541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Auxiliar Administrativa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9FBAD0"/>
          <w:left w:val="single" w:sz="4" w:color="9FBAD0"/>
          <w:bottom w:val="single" w:sz="4" w:color="9FBAD0"/>
          <w:right w:val="single" w:sz="4" w:color="9FBAD0"/>
          <w:insideH w:val="single" w:sz="4" w:color="9FBAD0"/>
          <w:insideV w:val="single" w:sz="4" w:color="9FBAD0"/>
        </w:tblBorders>
      </w:tblPr>
      <w:tblGrid>
        <w:gridCol w:w="158"/>
        <w:gridCol w:w="9432"/>
      </w:tblGrid>
      <w:tr>
        <w:tc>
          <w:tcPr>
            <w:tcW w:type="dxa" w:w="10166"/>
            <w:gridSpan w:val="2"/>
            <w:shd w:fill="EAF2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Aptos" w:hAnsi="Aptos" w:eastAsia="Aptos"/>
                <w:b/>
                <w:color w:val="1F1F1F"/>
                <w:sz w:val="19"/>
              </w:rPr>
            </w:r>
            <w:r>
              <w:rPr>
                <w:rFonts w:ascii="Aptos" w:hAnsi="Aptos" w:eastAsia="Aptos"/>
                <w:b/>
                <w:color w:val="1F1F1F"/>
                <w:sz w:val="19"/>
              </w:rPr>
              <w:t xml:space="preserve">Propósito del procedimiento: </w:t>
            </w:r>
            <w:r>
              <w:rPr>
                <w:rFonts w:ascii="Aptos" w:hAnsi="Aptos" w:eastAsia="Aptos"/>
                <w:b/>
                <w:color w:val="1F1F1F"/>
                <w:sz w:val="19"/>
              </w:rPr>
              <w:t>Organizar el trabajo diario de la Auxiliar Administrativa, asegurar el seguimiento de cada solicitud y mantener informada a la Junta Directiva sin duplicar tareas ni comunicaciones.</w:t>
            </w:r>
          </w:p>
        </w:tc>
      </w:tr>
    </w:tbl>
    <w:p>
      <w:pPr>
        <w:keepNext/>
        <w:spacing w:before="160" w:after="80"/>
        <w:pBdr>
          <w:bottom w:val="single" w:sz="6" w:space="2" w:color="1F4E78"/>
        </w:pBdr>
        <w:ind w:left="0" w:firstLine="0"/>
      </w:pPr>
      <w:r>
        <w:rPr>
          <w:rFonts w:ascii="Aptos" w:hAnsi="Aptos" w:eastAsia="Aptos"/>
          <w:b/>
          <w:i w:val="0"/>
          <w:color w:val="1F4E78"/>
          <w:sz w:val="25"/>
        </w:rPr>
        <w:t xml:space="preserve">1. </w:t>
      </w:r>
      <w:r>
        <w:rPr>
          <w:rFonts w:ascii="Aptos" w:hAnsi="Aptos" w:eastAsia="Aptos"/>
          <w:b/>
          <w:i w:val="0"/>
          <w:color w:val="1F4E78"/>
          <w:sz w:val="25"/>
        </w:rPr>
        <w:t>OBJETIVO, ALCANCE Y RESULTADO ESPERADO</w:t>
      </w:r>
    </w:p>
    <w:p>
      <w:pPr>
        <w:spacing w:before="0" w:after="80" w:line="259" w:lineRule="auto"/>
        <w:ind w:left="0" w:firstLine="0"/>
      </w:pPr>
      <w:r>
        <w:rPr>
          <w:rFonts w:ascii="Aptos" w:hAnsi="Aptos" w:eastAsia="Aptos"/>
          <w:b/>
          <w:i w:val="0"/>
          <w:color w:val="1F1F1F"/>
          <w:sz w:val="21"/>
        </w:rPr>
        <w:t xml:space="preserve">Objetivo: </w:t>
      </w:r>
      <w:r>
        <w:rPr>
          <w:rFonts w:ascii="Aptos" w:hAnsi="Aptos" w:eastAsia="Aptos"/>
          <w:b w:val="0"/>
          <w:i w:val="0"/>
          <w:color w:val="1F1F1F"/>
          <w:sz w:val="21"/>
        </w:rPr>
        <w:t>establecer una forma única de recibir, registrar, tramitar, responder, informar y archivar los asuntos de ASOPADRES.</w:t>
      </w:r>
    </w:p>
    <w:p>
      <w:pPr>
        <w:spacing w:before="0" w:after="80" w:line="259" w:lineRule="auto"/>
        <w:ind w:left="0" w:firstLine="0"/>
      </w:pPr>
      <w:r>
        <w:rPr>
          <w:rFonts w:ascii="Aptos" w:hAnsi="Aptos" w:eastAsia="Aptos"/>
          <w:b/>
          <w:i w:val="0"/>
          <w:color w:val="1F1F1F"/>
          <w:sz w:val="21"/>
        </w:rPr>
        <w:t xml:space="preserve">Alcance: </w:t>
      </w:r>
      <w:r>
        <w:rPr>
          <w:rFonts w:ascii="Aptos" w:hAnsi="Aptos" w:eastAsia="Aptos"/>
          <w:b w:val="0"/>
          <w:i w:val="0"/>
          <w:color w:val="1F1F1F"/>
          <w:sz w:val="21"/>
        </w:rPr>
        <w:t>aplica a solicitudes de la Junta Directiva, comunicaciones con el colegio, requerimientos de asociados, proveedores, compras, pagos y demás gestiones administrativas.</w:t>
      </w:r>
    </w:p>
    <w:p>
      <w:pPr>
        <w:spacing w:before="0" w:after="80" w:line="259" w:lineRule="auto"/>
        <w:ind w:left="0" w:firstLine="0"/>
      </w:pPr>
      <w:r>
        <w:rPr>
          <w:rFonts w:ascii="Aptos" w:hAnsi="Aptos" w:eastAsia="Aptos"/>
          <w:b/>
          <w:i w:val="0"/>
          <w:color w:val="1F1F1F"/>
          <w:sz w:val="21"/>
        </w:rPr>
        <w:t xml:space="preserve">Resultado esperado: </w:t>
      </w:r>
      <w:r>
        <w:rPr>
          <w:rFonts w:ascii="Aptos" w:hAnsi="Aptos" w:eastAsia="Aptos"/>
          <w:b w:val="0"/>
          <w:i w:val="0"/>
          <w:color w:val="1F1F1F"/>
          <w:sz w:val="21"/>
        </w:rPr>
        <w:t>cada asunto debe quedar registrado, con responsable, fecha de compromiso, seguimiento y evidencia de cierre.</w:t>
      </w:r>
    </w:p>
    <w:p>
      <w:pPr>
        <w:keepNext/>
        <w:spacing w:before="160" w:after="80"/>
        <w:pBdr>
          <w:bottom w:val="single" w:sz="6" w:space="2" w:color="1F4E78"/>
        </w:pBdr>
        <w:ind w:left="0" w:firstLine="0"/>
      </w:pPr>
      <w:r>
        <w:rPr>
          <w:rFonts w:ascii="Aptos" w:hAnsi="Aptos" w:eastAsia="Aptos"/>
          <w:b/>
          <w:i w:val="0"/>
          <w:color w:val="1F4E78"/>
          <w:sz w:val="25"/>
        </w:rPr>
        <w:t xml:space="preserve">2. </w:t>
      </w:r>
      <w:r>
        <w:rPr>
          <w:rFonts w:ascii="Aptos" w:hAnsi="Aptos" w:eastAsia="Aptos"/>
          <w:b/>
          <w:i w:val="0"/>
          <w:color w:val="1F4E78"/>
          <w:sz w:val="25"/>
        </w:rPr>
        <w:t>ROLES Y RESPONSABILIDADES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B8C4D3"/>
          <w:left w:val="single" w:sz="4" w:color="B8C4D3"/>
          <w:bottom w:val="single" w:sz="4" w:color="B8C4D3"/>
          <w:right w:val="single" w:sz="4" w:color="B8C4D3"/>
          <w:insideH w:val="single" w:sz="4" w:color="B8C4D3"/>
          <w:insideV w:val="single" w:sz="4" w:color="B8C4D3"/>
        </w:tblBorders>
      </w:tblPr>
      <w:tblGrid>
        <w:gridCol w:w="2376"/>
        <w:gridCol w:w="7200"/>
      </w:tblGrid>
      <w:tr>
        <w:trPr>
          <w:tblHeader w:val="true"/>
          <w:tblHeader w:val="true"/>
        </w:trPr>
        <w:tc>
          <w:tcPr>
            <w:tcW w:type="dxa" w:w="5083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Responsable</w:t>
            </w:r>
          </w:p>
        </w:tc>
        <w:tc>
          <w:tcPr>
            <w:tcW w:type="dxa" w:w="5083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Responsabilidad principal</w:t>
            </w:r>
          </w:p>
        </w:tc>
      </w:tr>
      <w:tr>
        <w:tc>
          <w:tcPr>
            <w:tcW w:type="dxa" w:w="237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Junta Directiva</w:t>
            </w:r>
          </w:p>
        </w:tc>
        <w:tc>
          <w:tcPr>
            <w:tcW w:type="dxa" w:w="720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Define lineamientos, asigna responsables, adopta decisiones y supervisa el cumplimiento del procedimiento.</w:t>
            </w:r>
          </w:p>
        </w:tc>
      </w:tr>
      <w:tr>
        <w:tc>
          <w:tcPr>
            <w:tcW w:type="dxa" w:w="237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Presidencia</w:t>
            </w:r>
          </w:p>
        </w:tc>
        <w:tc>
          <w:tcPr>
            <w:tcW w:type="dxa" w:w="720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Prioriza asuntos urgentes y valida comunicaciones institucionales o sensibles.</w:t>
            </w:r>
          </w:p>
        </w:tc>
      </w:tr>
      <w:tr>
        <w:tc>
          <w:tcPr>
            <w:tcW w:type="dxa" w:w="237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Auxiliar Administrativa</w:t>
            </w:r>
          </w:p>
        </w:tc>
        <w:tc>
          <w:tcPr>
            <w:tcW w:type="dxa" w:w="720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Recibe, registra, gestiona, prepara borradores, hace seguimiento, informa y archiva los soportes.</w:t>
            </w:r>
          </w:p>
        </w:tc>
      </w:tr>
      <w:tr>
        <w:tc>
          <w:tcPr>
            <w:tcW w:type="dxa" w:w="237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Tesorería</w:t>
            </w:r>
          </w:p>
        </w:tc>
        <w:tc>
          <w:tcPr>
            <w:tcW w:type="dxa" w:w="720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Interviene cuando el asunto comprende compras, pagos, presupuesto o documentos financieros.</w:t>
            </w:r>
          </w:p>
        </w:tc>
      </w:tr>
    </w:tbl>
    <w:p>
      <w:pPr>
        <w:keepNext/>
        <w:spacing w:before="160" w:after="80"/>
        <w:pBdr>
          <w:bottom w:val="single" w:sz="6" w:space="2" w:color="1F4E78"/>
        </w:pBdr>
        <w:ind w:left="0" w:firstLine="0"/>
      </w:pPr>
      <w:r>
        <w:rPr>
          <w:rFonts w:ascii="Aptos" w:hAnsi="Aptos" w:eastAsia="Aptos"/>
          <w:b/>
          <w:i w:val="0"/>
          <w:color w:val="1F4E78"/>
          <w:sz w:val="25"/>
        </w:rPr>
        <w:t xml:space="preserve">3. </w:t>
      </w:r>
      <w:r>
        <w:rPr>
          <w:rFonts w:ascii="Aptos" w:hAnsi="Aptos" w:eastAsia="Aptos"/>
          <w:b/>
          <w:i w:val="0"/>
          <w:color w:val="1F4E78"/>
          <w:sz w:val="25"/>
        </w:rPr>
        <w:t>PROCEDIMIENTO OPERATIVO</w:t>
      </w:r>
    </w:p>
    <w:p>
      <w:pPr>
        <w:spacing w:before="0" w:after="80" w:line="259" w:lineRule="auto"/>
        <w:ind w:left="0" w:firstLine="0"/>
      </w:pPr>
      <w:r>
        <w:rPr>
          <w:rFonts w:ascii="Aptos" w:hAnsi="Aptos" w:eastAsia="Aptos"/>
          <w:b w:val="0"/>
          <w:i w:val="0"/>
          <w:color w:val="1F1F1F"/>
          <w:sz w:val="21"/>
        </w:rPr>
        <w:t>Toda solicitud deberá cumplir las siguientes etapas, en el mismo orden: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B8C4D3"/>
          <w:left w:val="single" w:sz="4" w:color="B8C4D3"/>
          <w:bottom w:val="single" w:sz="4" w:color="B8C4D3"/>
          <w:right w:val="single" w:sz="4" w:color="B8C4D3"/>
          <w:insideH w:val="single" w:sz="4" w:color="B8C4D3"/>
          <w:insideV w:val="single" w:sz="4" w:color="B8C4D3"/>
        </w:tblBorders>
      </w:tblPr>
      <w:tblGrid>
        <w:gridCol w:w="792"/>
        <w:gridCol w:w="1800"/>
        <w:gridCol w:w="5400"/>
        <w:gridCol w:w="1656"/>
      </w:tblGrid>
      <w:tr>
        <w:trPr>
          <w:tblHeader w:val="true"/>
          <w:tblHeader w:val="true"/>
          <w:tblHeader w:val="true"/>
          <w:tblHeader w:val="true"/>
        </w:trPr>
        <w:tc>
          <w:tcPr>
            <w:tcW w:type="dxa" w:w="2541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No.</w:t>
            </w:r>
          </w:p>
        </w:tc>
        <w:tc>
          <w:tcPr>
            <w:tcW w:type="dxa" w:w="2541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Etapa</w:t>
            </w:r>
          </w:p>
        </w:tc>
        <w:tc>
          <w:tcPr>
            <w:tcW w:type="dxa" w:w="2541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Actividad</w:t>
            </w:r>
          </w:p>
        </w:tc>
        <w:tc>
          <w:tcPr>
            <w:tcW w:type="dxa" w:w="2541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Plazo</w:t>
            </w:r>
          </w:p>
        </w:tc>
      </w:tr>
      <w:tr>
        <w:tc>
          <w:tcPr>
            <w:tcW w:type="dxa" w:w="792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1</w:t>
            </w:r>
          </w:p>
        </w:tc>
        <w:tc>
          <w:tcPr>
            <w:tcW w:type="dxa" w:w="1800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Recepción</w:t>
            </w:r>
          </w:p>
        </w:tc>
        <w:tc>
          <w:tcPr>
            <w:tcW w:type="dxa" w:w="5400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Identificar solicitante, asunto, canal y anexos.</w:t>
            </w:r>
          </w:p>
        </w:tc>
        <w:tc>
          <w:tcPr>
            <w:tcW w:type="dxa" w:w="1656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Inmediato</w:t>
            </w:r>
          </w:p>
        </w:tc>
      </w:tr>
      <w:tr>
        <w:tc>
          <w:tcPr>
            <w:tcW w:type="dxa" w:w="792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2</w:t>
            </w:r>
          </w:p>
        </w:tc>
        <w:tc>
          <w:tcPr>
            <w:tcW w:type="dxa" w:w="1800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Registro</w:t>
            </w:r>
          </w:p>
        </w:tc>
        <w:tc>
          <w:tcPr>
            <w:tcW w:type="dxa" w:w="5400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Crear el caso en la matriz oficial y asignar consecutivo.</w:t>
            </w:r>
          </w:p>
        </w:tc>
        <w:tc>
          <w:tcPr>
            <w:tcW w:type="dxa" w:w="1656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Mismo día</w:t>
            </w:r>
          </w:p>
        </w:tc>
      </w:tr>
      <w:tr>
        <w:tc>
          <w:tcPr>
            <w:tcW w:type="dxa" w:w="792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3</w:t>
            </w:r>
          </w:p>
        </w:tc>
        <w:tc>
          <w:tcPr>
            <w:tcW w:type="dxa" w:w="1800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Clasificación</w:t>
            </w:r>
          </w:p>
        </w:tc>
        <w:tc>
          <w:tcPr>
            <w:tcW w:type="dxa" w:w="5400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Definir tipo, prioridad, responsable, fecha límite y necesidad de aprobación.</w:t>
            </w:r>
          </w:p>
        </w:tc>
        <w:tc>
          <w:tcPr>
            <w:tcW w:type="dxa" w:w="1656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1 día hábil</w:t>
            </w:r>
          </w:p>
        </w:tc>
      </w:tr>
      <w:tr>
        <w:tc>
          <w:tcPr>
            <w:tcW w:type="dxa" w:w="792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4</w:t>
            </w:r>
          </w:p>
        </w:tc>
        <w:tc>
          <w:tcPr>
            <w:tcW w:type="dxa" w:w="1800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Confirmación</w:t>
            </w:r>
          </w:p>
        </w:tc>
        <w:tc>
          <w:tcPr>
            <w:tcW w:type="dxa" w:w="5400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Acusar recibido e informar el plazo estimado.</w:t>
            </w:r>
          </w:p>
        </w:tc>
        <w:tc>
          <w:tcPr>
            <w:tcW w:type="dxa" w:w="1656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1 día hábil</w:t>
            </w:r>
          </w:p>
        </w:tc>
      </w:tr>
      <w:tr>
        <w:tc>
          <w:tcPr>
            <w:tcW w:type="dxa" w:w="792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5</w:t>
            </w:r>
          </w:p>
        </w:tc>
        <w:tc>
          <w:tcPr>
            <w:tcW w:type="dxa" w:w="1800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Gestión</w:t>
            </w:r>
          </w:p>
        </w:tc>
        <w:tc>
          <w:tcPr>
            <w:tcW w:type="dxa" w:w="5400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Recopilar información, solicitar soportes y preparar la respuesta.</w:t>
            </w:r>
          </w:p>
        </w:tc>
        <w:tc>
          <w:tcPr>
            <w:tcW w:type="dxa" w:w="1656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Según los tiempos de respuesta (SLA)</w:t>
            </w:r>
          </w:p>
        </w:tc>
      </w:tr>
      <w:tr>
        <w:tc>
          <w:tcPr>
            <w:tcW w:type="dxa" w:w="792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6</w:t>
            </w:r>
          </w:p>
        </w:tc>
        <w:tc>
          <w:tcPr>
            <w:tcW w:type="dxa" w:w="1800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Validación</w:t>
            </w:r>
          </w:p>
        </w:tc>
        <w:tc>
          <w:tcPr>
            <w:tcW w:type="dxa" w:w="5400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Obtener aprobación cuando el asunto sea institucional, financiero, contractual, estratégico o sensible.</w:t>
            </w:r>
          </w:p>
        </w:tc>
        <w:tc>
          <w:tcPr>
            <w:tcW w:type="dxa" w:w="1656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Antes del envío</w:t>
            </w:r>
          </w:p>
        </w:tc>
      </w:tr>
      <w:tr>
        <w:tc>
          <w:tcPr>
            <w:tcW w:type="dxa" w:w="792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7</w:t>
            </w:r>
          </w:p>
        </w:tc>
        <w:tc>
          <w:tcPr>
            <w:tcW w:type="dxa" w:w="1800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Respuesta</w:t>
            </w:r>
          </w:p>
        </w:tc>
        <w:tc>
          <w:tcPr>
            <w:tcW w:type="dxa" w:w="5400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Enviar la comunicación y copiar a juntaasopadres@lfp.edu.co.</w:t>
            </w:r>
          </w:p>
        </w:tc>
        <w:tc>
          <w:tcPr>
            <w:tcW w:type="dxa" w:w="1656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Según los tiempos de respuesta (SLA)</w:t>
            </w:r>
          </w:p>
        </w:tc>
      </w:tr>
      <w:tr>
        <w:tc>
          <w:tcPr>
            <w:tcW w:type="dxa" w:w="792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8</w:t>
            </w:r>
          </w:p>
        </w:tc>
        <w:tc>
          <w:tcPr>
            <w:tcW w:type="dxa" w:w="1800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Cierre</w:t>
            </w:r>
          </w:p>
        </w:tc>
        <w:tc>
          <w:tcPr>
            <w:tcW w:type="dxa" w:w="5400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Guardar soportes y registrar el resultado final en la matriz.</w:t>
            </w:r>
          </w:p>
        </w:tc>
        <w:tc>
          <w:tcPr>
            <w:tcW w:type="dxa" w:w="1656"/>
            <w:shd w:fill="F7F9FC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Mismo día del cierre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9FBAD0"/>
          <w:left w:val="single" w:sz="4" w:color="9FBAD0"/>
          <w:bottom w:val="single" w:sz="4" w:color="9FBAD0"/>
          <w:right w:val="single" w:sz="4" w:color="9FBAD0"/>
          <w:insideH w:val="single" w:sz="4" w:color="9FBAD0"/>
          <w:insideV w:val="single" w:sz="4" w:color="9FBAD0"/>
        </w:tblBorders>
      </w:tblPr>
      <w:tblGrid>
        <w:gridCol w:w="158"/>
        <w:gridCol w:w="9432"/>
      </w:tblGrid>
      <w:tr>
        <w:tc>
          <w:tcPr>
            <w:tcW w:type="dxa" w:w="10166"/>
            <w:gridSpan w:val="2"/>
            <w:shd w:fill="EAF2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Aptos" w:hAnsi="Aptos" w:eastAsia="Aptos"/>
                <w:b/>
                <w:color w:val="1F1F1F"/>
                <w:sz w:val="19"/>
              </w:rPr>
            </w:r>
            <w:r>
              <w:rPr>
                <w:rFonts w:ascii="Aptos" w:hAnsi="Aptos" w:eastAsia="Aptos"/>
                <w:b/>
                <w:color w:val="1F1F1F"/>
                <w:sz w:val="19"/>
              </w:rPr>
              <w:t xml:space="preserve">Control obligatorio: </w:t>
            </w:r>
            <w:r>
              <w:rPr>
                <w:rFonts w:ascii="Aptos" w:hAnsi="Aptos" w:eastAsia="Aptos"/>
                <w:b/>
                <w:color w:val="1F1F1F"/>
                <w:sz w:val="19"/>
              </w:rPr>
              <w:t>Ningún asunto se considera atendido si no cuenta con registro, evidencia de seguimiento y cierre en la matriz oficial.</w:t>
            </w:r>
          </w:p>
        </w:tc>
      </w:tr>
    </w:tbl>
    <w:p>
      <w:pPr>
        <w:keepNext/>
        <w:spacing w:before="160" w:after="80"/>
        <w:pBdr>
          <w:bottom w:val="single" w:sz="6" w:space="2" w:color="1F4E78"/>
        </w:pBdr>
        <w:ind w:left="0" w:firstLine="0"/>
      </w:pPr>
      <w:r>
        <w:rPr>
          <w:rFonts w:ascii="Aptos" w:hAnsi="Aptos" w:eastAsia="Aptos"/>
          <w:b/>
          <w:i w:val="0"/>
          <w:color w:val="1F4E78"/>
          <w:sz w:val="25"/>
        </w:rPr>
        <w:t xml:space="preserve">4. </w:t>
      </w:r>
      <w:r>
        <w:rPr>
          <w:rFonts w:ascii="Aptos" w:hAnsi="Aptos" w:eastAsia="Aptos"/>
          <w:b/>
          <w:i w:val="0"/>
          <w:color w:val="1F4E78"/>
          <w:sz w:val="25"/>
        </w:rPr>
        <w:t>MATRIZ OFICIAL DE PENDIENTES</w:t>
      </w:r>
    </w:p>
    <w:p>
      <w:pPr>
        <w:spacing w:before="0" w:after="80" w:line="259" w:lineRule="auto"/>
        <w:ind w:left="0" w:firstLine="0"/>
      </w:pPr>
      <w:r>
        <w:rPr>
          <w:rFonts w:ascii="Aptos" w:hAnsi="Aptos" w:eastAsia="Aptos"/>
          <w:b w:val="0"/>
          <w:i w:val="0"/>
          <w:color w:val="1F1F1F"/>
          <w:sz w:val="21"/>
        </w:rPr>
        <w:t>La matriz es el único registro de control y debe actualizarse diariamente. Contendrá, como mínimo: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Consecutivo y fecha de recepción.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Solicitante, asunto y categoría.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Prioridad, responsable y fecha de compromiso.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Estado, última actuación y próxima acción.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Ubicación de soportes.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Fecha y resultado del cierre.</w:t>
      </w:r>
    </w:p>
    <w:p>
      <w:pPr>
        <w:spacing w:before="0" w:after="80" w:line="259" w:lineRule="auto"/>
        <w:ind w:left="0" w:firstLine="0"/>
      </w:pPr>
      <w:r>
        <w:rPr>
          <w:rFonts w:ascii="Aptos" w:hAnsi="Aptos" w:eastAsia="Aptos"/>
          <w:b/>
          <w:i w:val="0"/>
          <w:color w:val="1F1F1F"/>
          <w:sz w:val="21"/>
        </w:rPr>
        <w:t xml:space="preserve">Estados permitidos: </w:t>
      </w:r>
      <w:r>
        <w:rPr>
          <w:rFonts w:ascii="Aptos" w:hAnsi="Aptos" w:eastAsia="Aptos"/>
          <w:b w:val="0"/>
          <w:i w:val="0"/>
          <w:color w:val="1F1F1F"/>
          <w:sz w:val="21"/>
        </w:rPr>
        <w:t>Recibido, En gestión, Pendiente de tercero, Pendiente de aprobación, Cerrado y Vencido.</w:t>
      </w:r>
    </w:p>
    <w:p>
      <w:pPr>
        <w:keepNext/>
        <w:spacing w:before="160" w:after="80"/>
        <w:pBdr>
          <w:bottom w:val="single" w:sz="6" w:space="2" w:color="1F4E78"/>
        </w:pBdr>
        <w:ind w:left="0" w:firstLine="0"/>
      </w:pPr>
      <w:r>
        <w:rPr>
          <w:rFonts w:ascii="Aptos" w:hAnsi="Aptos" w:eastAsia="Aptos"/>
          <w:b/>
          <w:i w:val="0"/>
          <w:color w:val="1F4E78"/>
          <w:sz w:val="25"/>
        </w:rPr>
        <w:t xml:space="preserve">5. </w:t>
      </w:r>
      <w:r>
        <w:rPr>
          <w:rFonts w:ascii="Aptos" w:hAnsi="Aptos" w:eastAsia="Aptos"/>
          <w:b/>
          <w:i w:val="0"/>
          <w:color w:val="1F4E78"/>
          <w:sz w:val="25"/>
        </w:rPr>
        <w:t>COMUNICACIÓN Y AUTORIZACIONES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Todo correo enviado por la Auxiliar Administrativa sobre asuntos de ASOPADRES debe copiar a juntaasopadres@lfp.edu.co.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Toda comunicación dirigida al colegio debe seguir las instrucciones de la Junta Directiva.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Los asuntos institucionales, financieros, contractuales, estratégicos, reputacionales o que comprometan recursos requieren validación previa.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No se enviarán respuestas definitivas cuando exista una decisión pendiente de la Junta.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Toda respuesta o novedad del colegio deberá informarse a la Junta el mismo día hábil.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Las instrucciones verbales que impliquen compromisos deberán confirmarse por escrito.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Los anexos deberán revisarse antes del envío y guardarse en el repositorio institucional.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9FBAD0"/>
          <w:left w:val="single" w:sz="4" w:color="9FBAD0"/>
          <w:bottom w:val="single" w:sz="4" w:color="9FBAD0"/>
          <w:right w:val="single" w:sz="4" w:color="9FBAD0"/>
          <w:insideH w:val="single" w:sz="4" w:color="9FBAD0"/>
          <w:insideV w:val="single" w:sz="4" w:color="9FBAD0"/>
        </w:tblBorders>
      </w:tblPr>
      <w:tblGrid>
        <w:gridCol w:w="158"/>
        <w:gridCol w:w="9432"/>
      </w:tblGrid>
      <w:tr>
        <w:tc>
          <w:tcPr>
            <w:tcW w:type="dxa" w:w="10166"/>
            <w:gridSpan w:val="2"/>
            <w:shd w:fill="EAF2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Aptos" w:hAnsi="Aptos" w:eastAsia="Aptos"/>
                <w:b/>
                <w:color w:val="1F1F1F"/>
                <w:sz w:val="19"/>
              </w:rPr>
            </w:r>
            <w:r>
              <w:rPr>
                <w:rFonts w:ascii="Aptos" w:hAnsi="Aptos" w:eastAsia="Aptos"/>
                <w:b/>
                <w:color w:val="1F1F1F"/>
                <w:sz w:val="19"/>
              </w:rPr>
              <w:t xml:space="preserve">Límite de actuación: </w:t>
            </w:r>
            <w:r>
              <w:rPr>
                <w:rFonts w:ascii="Aptos" w:hAnsi="Aptos" w:eastAsia="Aptos"/>
                <w:b/>
                <w:color w:val="1F1F1F"/>
                <w:sz w:val="19"/>
              </w:rPr>
              <w:t>La Auxiliar Administrativa puede gestionar asuntos operativos y preparar borradores, pero no puede fijar posiciones institucionales, comprometer recursos ni modificar instrucciones de la Junta.</w:t>
            </w:r>
          </w:p>
        </w:tc>
      </w:tr>
    </w:tbl>
    <w:p>
      <w:pPr>
        <w:keepNext/>
        <w:spacing w:before="160" w:after="80"/>
        <w:pBdr>
          <w:bottom w:val="single" w:sz="6" w:space="2" w:color="1F4E78"/>
        </w:pBdr>
        <w:ind w:left="0" w:firstLine="0"/>
      </w:pPr>
      <w:r>
        <w:rPr>
          <w:rFonts w:ascii="Aptos" w:hAnsi="Aptos" w:eastAsia="Aptos"/>
          <w:b/>
          <w:i w:val="0"/>
          <w:color w:val="1F4E78"/>
          <w:sz w:val="25"/>
        </w:rPr>
        <w:t>6. TIEMPOS DE RESPUESTA (SLA)</w:t>
      </w:r>
      <w:r>
        <w:rPr>
          <w:rFonts w:ascii="Aptos" w:hAnsi="Aptos" w:eastAsia="Aptos"/>
          <w:b/>
          <w:i w:val="0"/>
          <w:color w:val="1F4E78"/>
          <w:sz w:val="25"/>
        </w:rPr>
      </w:r>
    </w:p>
    <w:p>
      <w:pPr>
        <w:spacing w:before="0" w:after="80" w:line="259" w:lineRule="auto"/>
        <w:ind w:left="0" w:firstLine="0"/>
      </w:pPr>
      <w:r>
        <w:rPr>
          <w:rFonts w:ascii="Aptos" w:hAnsi="Aptos" w:eastAsia="Aptos"/>
          <w:b w:val="0"/>
          <w:i w:val="0"/>
          <w:color w:val="1F1F1F"/>
          <w:sz w:val="21"/>
        </w:rPr>
        <w:t>SLA significa Acuerdo de Nivel de Servicio. Los siguientes tiempos son máximos. Cuando la respuesta dependa de un tercero, se deberá informar el avance y mantener el seguimiento activo.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B8C4D3"/>
          <w:left w:val="single" w:sz="4" w:color="B8C4D3"/>
          <w:bottom w:val="single" w:sz="4" w:color="B8C4D3"/>
          <w:right w:val="single" w:sz="4" w:color="B8C4D3"/>
          <w:insideH w:val="single" w:sz="4" w:color="B8C4D3"/>
          <w:insideV w:val="single" w:sz="4" w:color="B8C4D3"/>
        </w:tblBorders>
      </w:tblPr>
      <w:tblGrid>
        <w:gridCol w:w="6912"/>
        <w:gridCol w:w="2664"/>
      </w:tblGrid>
      <w:tr>
        <w:trPr>
          <w:tblHeader w:val="true"/>
          <w:tblHeader w:val="true"/>
        </w:trPr>
        <w:tc>
          <w:tcPr>
            <w:tcW w:type="dxa" w:w="5083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Actividad</w:t>
            </w:r>
          </w:p>
        </w:tc>
        <w:tc>
          <w:tcPr>
            <w:tcW w:type="dxa" w:w="5083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Tiempo máximo</w:t>
            </w:r>
          </w:p>
        </w:tc>
      </w:tr>
      <w:tr>
        <w:tc>
          <w:tcPr>
            <w:tcW w:type="dxa" w:w="6912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Acuse de recibido</w:t>
            </w:r>
          </w:p>
        </w:tc>
        <w:tc>
          <w:tcPr>
            <w:tcW w:type="dxa" w:w="266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1 día hábil</w:t>
            </w:r>
          </w:p>
        </w:tc>
      </w:tr>
      <w:tr>
        <w:tc>
          <w:tcPr>
            <w:tcW w:type="dxa" w:w="6912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Registro y clasificación</w:t>
            </w:r>
          </w:p>
        </w:tc>
        <w:tc>
          <w:tcPr>
            <w:tcW w:type="dxa" w:w="2664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Mismo día o máximo 1 día hábil</w:t>
            </w:r>
          </w:p>
        </w:tc>
      </w:tr>
      <w:tr>
        <w:tc>
          <w:tcPr>
            <w:tcW w:type="dxa" w:w="6912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Traslado a la Junta para revisión</w:t>
            </w:r>
          </w:p>
        </w:tc>
        <w:tc>
          <w:tcPr>
            <w:tcW w:type="dxa" w:w="266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1 día hábil</w:t>
            </w:r>
          </w:p>
        </w:tc>
      </w:tr>
      <w:tr>
        <w:tc>
          <w:tcPr>
            <w:tcW w:type="dxa" w:w="6912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Respuesta inicial a solicitudes internas</w:t>
            </w:r>
          </w:p>
        </w:tc>
        <w:tc>
          <w:tcPr>
            <w:tcW w:type="dxa" w:w="2664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1 a 2 días hábiles</w:t>
            </w:r>
          </w:p>
        </w:tc>
      </w:tr>
      <w:tr>
        <w:tc>
          <w:tcPr>
            <w:tcW w:type="dxa" w:w="6912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Borrador de comunicación al colegio</w:t>
            </w:r>
          </w:p>
        </w:tc>
        <w:tc>
          <w:tcPr>
            <w:tcW w:type="dxa" w:w="266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2 días hábiles</w:t>
            </w:r>
          </w:p>
        </w:tc>
      </w:tr>
      <w:tr>
        <w:tc>
          <w:tcPr>
            <w:tcW w:type="dxa" w:w="6912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Seguimiento a asuntos sin respuesta</w:t>
            </w:r>
          </w:p>
        </w:tc>
        <w:tc>
          <w:tcPr>
            <w:tcW w:type="dxa" w:w="2664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Cada 2 días hábiles</w:t>
            </w:r>
          </w:p>
        </w:tc>
      </w:tr>
      <w:tr>
        <w:tc>
          <w:tcPr>
            <w:tcW w:type="dxa" w:w="6912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Actualización de la matriz</w:t>
            </w:r>
          </w:p>
        </w:tc>
        <w:tc>
          <w:tcPr>
            <w:tcW w:type="dxa" w:w="266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Diaria</w:t>
            </w:r>
          </w:p>
        </w:tc>
      </w:tr>
      <w:tr>
        <w:tc>
          <w:tcPr>
            <w:tcW w:type="dxa" w:w="6912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Informe semanal</w:t>
            </w:r>
          </w:p>
        </w:tc>
        <w:tc>
          <w:tcPr>
            <w:tcW w:type="dxa" w:w="2664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Viernes antes de finalizar la jornada</w:t>
            </w:r>
          </w:p>
        </w:tc>
      </w:tr>
      <w:tr>
        <w:tc>
          <w:tcPr>
            <w:tcW w:type="dxa" w:w="6912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Informe mensual</w:t>
            </w:r>
          </w:p>
        </w:tc>
        <w:tc>
          <w:tcPr>
            <w:tcW w:type="dxa" w:w="266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Dentro de los 3 primeros días hábiles del mes</w:t>
            </w:r>
          </w:p>
        </w:tc>
      </w:tr>
      <w:tr>
        <w:tc>
          <w:tcPr>
            <w:tcW w:type="dxa" w:w="6912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Empalme antes de vacaciones o ausencia</w:t>
            </w:r>
          </w:p>
        </w:tc>
        <w:tc>
          <w:tcPr>
            <w:tcW w:type="dxa" w:w="2664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Mínimo 3 días hábiles antes</w:t>
            </w:r>
          </w:p>
        </w:tc>
      </w:tr>
    </w:tbl>
    <w:p>
      <w:pPr>
        <w:keepNext/>
        <w:spacing w:before="160" w:after="80"/>
        <w:pBdr>
          <w:bottom w:val="single" w:sz="6" w:space="2" w:color="1F4E78"/>
        </w:pBdr>
        <w:ind w:left="0" w:firstLine="0"/>
      </w:pPr>
      <w:r>
        <w:rPr>
          <w:rFonts w:ascii="Aptos" w:hAnsi="Aptos" w:eastAsia="Aptos"/>
          <w:b/>
          <w:i w:val="0"/>
          <w:color w:val="1F4E78"/>
          <w:sz w:val="25"/>
        </w:rPr>
        <w:t xml:space="preserve">7. </w:t>
      </w:r>
      <w:r>
        <w:rPr>
          <w:rFonts w:ascii="Aptos" w:hAnsi="Aptos" w:eastAsia="Aptos"/>
          <w:b/>
          <w:i w:val="0"/>
          <w:color w:val="1F4E78"/>
          <w:sz w:val="25"/>
        </w:rPr>
        <w:t>INFORMES Y EMPALME</w:t>
      </w:r>
    </w:p>
    <w:p>
      <w:pPr>
        <w:spacing w:before="0" w:after="80" w:line="259" w:lineRule="auto"/>
        <w:ind w:left="0" w:firstLine="0"/>
      </w:pPr>
      <w:r>
        <w:rPr>
          <w:rFonts w:ascii="Aptos" w:hAnsi="Aptos" w:eastAsia="Aptos"/>
          <w:b/>
          <w:i w:val="0"/>
          <w:color w:val="1F1F1F"/>
          <w:sz w:val="21"/>
        </w:rPr>
        <w:t xml:space="preserve">Informe semanal: </w:t>
      </w:r>
      <w:r>
        <w:rPr>
          <w:rFonts w:ascii="Aptos" w:hAnsi="Aptos" w:eastAsia="Aptos"/>
          <w:b w:val="0"/>
          <w:i w:val="0"/>
          <w:color w:val="1F1F1F"/>
          <w:sz w:val="21"/>
        </w:rPr>
        <w:t>solicitudes recibidas, asuntos cerrados, pendientes, comunicaciones con el colegio, decisiones requeridas, fechas límite y alertas.</w:t>
      </w:r>
    </w:p>
    <w:p>
      <w:pPr>
        <w:spacing w:before="0" w:after="80" w:line="259" w:lineRule="auto"/>
        <w:ind w:left="0" w:firstLine="0"/>
      </w:pPr>
      <w:r>
        <w:rPr>
          <w:rFonts w:ascii="Aptos" w:hAnsi="Aptos" w:eastAsia="Aptos"/>
          <w:b/>
          <w:i w:val="0"/>
          <w:color w:val="1F1F1F"/>
          <w:sz w:val="21"/>
        </w:rPr>
        <w:t xml:space="preserve">Informe mensual: </w:t>
      </w:r>
      <w:r>
        <w:rPr>
          <w:rFonts w:ascii="Aptos" w:hAnsi="Aptos" w:eastAsia="Aptos"/>
          <w:b w:val="0"/>
          <w:i w:val="0"/>
          <w:color w:val="1F1F1F"/>
          <w:sz w:val="21"/>
        </w:rPr>
        <w:t>resumen ejecutivo, balance de asuntos abiertos, cerrados y vencidos, asuntos críticos y recomendaciones.</w:t>
      </w:r>
    </w:p>
    <w:p>
      <w:pPr>
        <w:spacing w:before="0" w:after="80" w:line="259" w:lineRule="auto"/>
        <w:ind w:left="0" w:firstLine="0"/>
      </w:pPr>
      <w:r>
        <w:rPr>
          <w:rFonts w:ascii="Aptos" w:hAnsi="Aptos" w:eastAsia="Aptos"/>
          <w:b/>
          <w:i w:val="0"/>
          <w:color w:val="1F1F1F"/>
          <w:sz w:val="21"/>
        </w:rPr>
        <w:t xml:space="preserve">Informe extraordinario: </w:t>
      </w:r>
      <w:r>
        <w:rPr>
          <w:rFonts w:ascii="Aptos" w:hAnsi="Aptos" w:eastAsia="Aptos"/>
          <w:b w:val="0"/>
          <w:i w:val="0"/>
          <w:color w:val="1F1F1F"/>
          <w:sz w:val="21"/>
        </w:rPr>
        <w:t>se presenta de inmediato cuando exista riesgo legal, financiero, contractual, reputacional o un incumplimiento relevante.</w:t>
      </w:r>
    </w:p>
    <w:p>
      <w:pPr>
        <w:spacing w:before="0" w:after="80" w:line="259" w:lineRule="auto"/>
        <w:ind w:left="0" w:firstLine="0"/>
      </w:pPr>
      <w:r>
        <w:rPr>
          <w:rFonts w:ascii="Aptos" w:hAnsi="Aptos" w:eastAsia="Aptos"/>
          <w:b/>
          <w:i w:val="0"/>
          <w:color w:val="1F1F1F"/>
          <w:sz w:val="21"/>
        </w:rPr>
        <w:t xml:space="preserve">Empalme por vacaciones o ausencias: </w:t>
      </w:r>
      <w:r>
        <w:rPr>
          <w:rFonts w:ascii="Aptos" w:hAnsi="Aptos" w:eastAsia="Aptos"/>
          <w:b w:val="0"/>
          <w:i w:val="0"/>
          <w:color w:val="1F1F1F"/>
          <w:sz w:val="21"/>
        </w:rPr>
        <w:t>deberá entregarse mínimo tres (3) días hábiles antes e incluir: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Matriz actualizada y ordenada por prioridad.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Correos y respuestas en curso.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Compromisos, fechas límite y responsables.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Documentos de soporte y borradores pendientes.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Asuntos urgentes y recomendaciones de seguimiento.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Accesos institucionales necesarios, conforme a las políticas de seguridad.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9FBAD0"/>
          <w:left w:val="single" w:sz="4" w:color="9FBAD0"/>
          <w:bottom w:val="single" w:sz="4" w:color="9FBAD0"/>
          <w:right w:val="single" w:sz="4" w:color="9FBAD0"/>
          <w:insideH w:val="single" w:sz="4" w:color="9FBAD0"/>
          <w:insideV w:val="single" w:sz="4" w:color="9FBAD0"/>
        </w:tblBorders>
      </w:tblPr>
      <w:tblGrid>
        <w:gridCol w:w="158"/>
        <w:gridCol w:w="9432"/>
      </w:tblGrid>
      <w:tr>
        <w:tc>
          <w:tcPr>
            <w:tcW w:type="dxa" w:w="10166"/>
            <w:gridSpan w:val="2"/>
            <w:shd w:fill="EAF2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Aptos" w:hAnsi="Aptos" w:eastAsia="Aptos"/>
                <w:b/>
                <w:color w:val="1F1F1F"/>
                <w:sz w:val="19"/>
              </w:rPr>
            </w:r>
            <w:r>
              <w:rPr>
                <w:rFonts w:ascii="Aptos" w:hAnsi="Aptos" w:eastAsia="Aptos"/>
                <w:b/>
                <w:color w:val="1F1F1F"/>
                <w:sz w:val="19"/>
              </w:rPr>
              <w:t xml:space="preserve">Condición de entrega: </w:t>
            </w:r>
            <w:r>
              <w:rPr>
                <w:rFonts w:ascii="Aptos" w:hAnsi="Aptos" w:eastAsia="Aptos"/>
                <w:b/>
                <w:color w:val="1F1F1F"/>
                <w:sz w:val="19"/>
              </w:rPr>
              <w:t>El empalme no se considera completo mientras existan asuntos sin responsable, sin soporte o sin una próxima acción definida.</w:t>
            </w:r>
          </w:p>
        </w:tc>
      </w:tr>
    </w:tbl>
    <w:p>
      <w:pPr>
        <w:keepNext/>
        <w:spacing w:before="160" w:after="80"/>
        <w:pBdr>
          <w:bottom w:val="single" w:sz="6" w:space="2" w:color="1F4E78"/>
        </w:pBdr>
        <w:ind w:left="0" w:firstLine="0"/>
      </w:pPr>
      <w:r>
        <w:rPr>
          <w:rFonts w:ascii="Aptos" w:hAnsi="Aptos" w:eastAsia="Aptos"/>
          <w:b/>
          <w:i w:val="0"/>
          <w:color w:val="1F4E78"/>
          <w:sz w:val="25"/>
        </w:rPr>
        <w:t xml:space="preserve">8. </w:t>
      </w:r>
      <w:r>
        <w:rPr>
          <w:rFonts w:ascii="Aptos" w:hAnsi="Aptos" w:eastAsia="Aptos"/>
          <w:b/>
          <w:i w:val="0"/>
          <w:color w:val="1F4E78"/>
          <w:sz w:val="25"/>
        </w:rPr>
        <w:t>ESCALAMIENTO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B8C4D3"/>
          <w:left w:val="single" w:sz="4" w:color="B8C4D3"/>
          <w:bottom w:val="single" w:sz="4" w:color="B8C4D3"/>
          <w:right w:val="single" w:sz="4" w:color="B8C4D3"/>
          <w:insideH w:val="single" w:sz="4" w:color="B8C4D3"/>
          <w:insideV w:val="single" w:sz="4" w:color="B8C4D3"/>
        </w:tblBorders>
      </w:tblPr>
      <w:tblGrid>
        <w:gridCol w:w="1080"/>
        <w:gridCol w:w="4824"/>
        <w:gridCol w:w="3672"/>
      </w:tblGrid>
      <w:tr>
        <w:trPr>
          <w:tblHeader w:val="true"/>
          <w:tblHeader w:val="true"/>
          <w:tblHeader w:val="true"/>
          <w:cantSplit/>
        </w:trPr>
        <w:tc>
          <w:tcPr>
            <w:tcW w:type="dxa" w:w="3389"/>
            <w:shd w:fill="173F7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Nivel</w:t>
            </w:r>
          </w:p>
        </w:tc>
        <w:tc>
          <w:tcPr>
            <w:tcW w:type="dxa" w:w="3389"/>
            <w:shd w:fill="173F7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Tipo de asunto</w:t>
            </w:r>
          </w:p>
        </w:tc>
        <w:tc>
          <w:tcPr>
            <w:tcW w:type="dxa" w:w="3389"/>
            <w:shd w:fill="173F7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Acción requerida</w:t>
            </w:r>
          </w:p>
        </w:tc>
      </w:tr>
      <w:tr>
        <w:trPr>
          <w:cantSplit/>
        </w:trPr>
        <w:tc>
          <w:tcPr>
            <w:tcW w:type="dxa" w:w="108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1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Operativo rutinario</w:t>
            </w:r>
          </w:p>
        </w:tc>
        <w:tc>
          <w:tcPr>
            <w:tcW w:type="dxa" w:w="3672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Gestiona la Auxiliar Administrativa.</w:t>
            </w:r>
          </w:p>
        </w:tc>
      </w:tr>
      <w:tr>
        <w:trPr>
          <w:cantSplit/>
        </w:trPr>
        <w:tc>
          <w:tcPr>
            <w:tcW w:type="dxa" w:w="1080"/>
            <w:shd w:fill="F7F9F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2</w:t>
            </w:r>
          </w:p>
        </w:tc>
        <w:tc>
          <w:tcPr>
            <w:tcW w:type="dxa" w:w="4824"/>
            <w:shd w:fill="F7F9F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Comunicación con el colegio o asunto institucional</w:t>
            </w:r>
          </w:p>
        </w:tc>
        <w:tc>
          <w:tcPr>
            <w:tcW w:type="dxa" w:w="3672"/>
            <w:shd w:fill="F7F9F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Valida Presidencia o el miembro de Junta responsable.</w:t>
            </w:r>
          </w:p>
        </w:tc>
      </w:tr>
      <w:tr>
        <w:trPr>
          <w:cantSplit/>
        </w:trPr>
        <w:tc>
          <w:tcPr>
            <w:tcW w:type="dxa" w:w="108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3</w:t>
            </w:r>
          </w:p>
        </w:tc>
        <w:tc>
          <w:tcPr>
            <w:tcW w:type="dxa" w:w="482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Financiero, contractual, compras o pagos</w:t>
            </w:r>
          </w:p>
        </w:tc>
        <w:tc>
          <w:tcPr>
            <w:tcW w:type="dxa" w:w="3672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Validan Tesorería y Presidencia; decide la Junta cuando corresponda.</w:t>
            </w:r>
          </w:p>
        </w:tc>
      </w:tr>
      <w:tr>
        <w:trPr>
          <w:cantSplit/>
        </w:trPr>
        <w:tc>
          <w:tcPr>
            <w:tcW w:type="dxa" w:w="1080"/>
            <w:shd w:fill="F7F9F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4</w:t>
            </w:r>
          </w:p>
        </w:tc>
        <w:tc>
          <w:tcPr>
            <w:tcW w:type="dxa" w:w="4824"/>
            <w:shd w:fill="F7F9F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Urgente, legal, reputacional o crítico</w:t>
            </w:r>
          </w:p>
        </w:tc>
        <w:tc>
          <w:tcPr>
            <w:tcW w:type="dxa" w:w="3672"/>
            <w:shd w:fill="F7F9FC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30" w:line="240" w:lineRule="auto" w:before="0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Escalamiento inmediato a Presidencia y Junta Directiva.</w:t>
            </w:r>
          </w:p>
        </w:tc>
      </w:tr>
    </w:tbl>
    <w:p>
      <w:pPr>
        <w:keepNext/>
        <w:spacing w:before="160" w:after="80"/>
        <w:pBdr>
          <w:bottom w:val="single" w:sz="6" w:space="2" w:color="1F4E78"/>
        </w:pBdr>
        <w:ind w:left="0" w:firstLine="0"/>
      </w:pPr>
      <w:r>
        <w:rPr>
          <w:rFonts w:ascii="Aptos" w:hAnsi="Aptos" w:eastAsia="Aptos"/>
          <w:b/>
          <w:i w:val="0"/>
          <w:color w:val="1F4E78"/>
          <w:sz w:val="25"/>
        </w:rPr>
        <w:t xml:space="preserve">9. </w:t>
      </w:r>
      <w:r>
        <w:rPr>
          <w:rFonts w:ascii="Aptos" w:hAnsi="Aptos" w:eastAsia="Aptos"/>
          <w:b/>
          <w:i w:val="0"/>
          <w:color w:val="1F4E78"/>
          <w:sz w:val="25"/>
        </w:rPr>
        <w:t>ARCHIVO Y CONTROL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>✓ Todos los documentos de ASOPADRES deberán conservarse en el Drive institucional, incluyendo soportes, cotizaciones, propuestas, contratos, facturas, comprobantes, actas, informes, comunicaciones, anexos y versiones finales.</w:t>
      </w:r>
      <w:r>
        <w:rPr>
          <w:rFonts w:ascii="Aptos" w:hAnsi="Aptos" w:eastAsia="Aptos"/>
          <w:b w:val="0"/>
          <w:color w:val="1F1F1F"/>
          <w:sz w:val="21"/>
        </w:rPr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>✓ La información deberá organizarse en carpetas identificadas por proceso, proyecto o asunto, con nombres claros, fechas y separación entre borradores, documentos aprobados y soportes de cierre.</w:t>
      </w:r>
      <w:r>
        <w:rPr>
          <w:rFonts w:ascii="Aptos" w:hAnsi="Aptos" w:eastAsia="Aptos"/>
          <w:b w:val="0"/>
          <w:color w:val="1F1F1F"/>
          <w:sz w:val="21"/>
        </w:rPr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>✓ Las carpetas del Drive deberán compartirse con el correo institucional de la Junta Directiva y con los correos personales de todos sus miembros, de acuerdo con los permisos definidos por la Presidencia.</w:t>
      </w:r>
      <w:r>
        <w:rPr>
          <w:rFonts w:ascii="Aptos" w:hAnsi="Aptos" w:eastAsia="Aptos"/>
          <w:b w:val="0"/>
          <w:color w:val="1F1F1F"/>
          <w:sz w:val="21"/>
        </w:rPr>
      </w:r>
    </w:p>
    <w:p>
      <w:pPr>
        <w:spacing w:before="0" w:after="60"/>
        <w:ind w:left="280" w:hanging="200"/>
      </w:pPr>
      <w:r>
        <w:rPr>
          <w:rFonts w:ascii="Aptos" w:hAnsi="Aptos"/>
          <w:b w:val="0"/>
          <w:color w:val="1F1F1F"/>
          <w:sz w:val="21"/>
        </w:rPr>
        <w:t>✓ La Auxiliar Administrativa deberá cargar o actualizar los archivos en el Drive el mismo día de su recepción, elaboración o envío, evitando que la información permanezca únicamente en el correo, WhatsApp o equipos personales.</w:t>
      </w:r>
    </w:p>
    <w:p>
      <w:pPr>
        <w:spacing w:before="0" w:after="60"/>
        <w:ind w:left="280" w:hanging="200"/>
      </w:pPr>
      <w:r>
        <w:rPr>
          <w:rFonts w:ascii="Aptos" w:hAnsi="Aptos"/>
          <w:b w:val="0"/>
          <w:color w:val="1F1F1F"/>
          <w:sz w:val="21"/>
        </w:rPr>
        <w:t>✓ Cuando cambie la conformación de la Junta Directiva, se deberán actualizar los permisos del Drive, retirar los accesos de quienes terminen su período y habilitar a los nuevos miembros mediante acta de empalme.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La Junta revisará mensualmente los pendientes vencidos, el cumplimiento de plazos, los soportes y la entrega de informes.</w:t>
      </w:r>
    </w:p>
    <w:p>
      <w:pPr>
        <w:spacing w:after="60" w:line="252" w:lineRule="auto" w:before="0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Las omisiones de copia, respuestas sin autorización, falta de informes o ausencia de soportes deberán corregirse de inmediato.</w:t>
      </w:r>
    </w:p>
    <w:p>
      <w:pPr>
        <w:keepNext/>
        <w:spacing w:before="160" w:after="80"/>
        <w:pBdr>
          <w:bottom w:val="single" w:sz="6" w:space="2" w:color="1F4E78"/>
        </w:pBdr>
        <w:ind w:left="0" w:firstLine="0"/>
      </w:pPr>
      <w:r>
        <w:rPr>
          <w:rFonts w:ascii="Aptos" w:hAnsi="Aptos" w:eastAsia="Aptos"/>
          <w:b/>
          <w:i w:val="0"/>
          <w:color w:val="1F4E78"/>
          <w:sz w:val="25"/>
        </w:rPr>
        <w:t xml:space="preserve">10. </w:t>
      </w:r>
      <w:r>
        <w:rPr>
          <w:rFonts w:ascii="Aptos" w:hAnsi="Aptos" w:eastAsia="Aptos"/>
          <w:b/>
          <w:i w:val="0"/>
          <w:color w:val="1F4E78"/>
          <w:sz w:val="25"/>
        </w:rPr>
        <w:t>INDICADORES, APROBACIÓN Y VIGENCIA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B8C4D3"/>
          <w:left w:val="single" w:sz="4" w:color="B8C4D3"/>
          <w:bottom w:val="single" w:sz="4" w:color="B8C4D3"/>
          <w:right w:val="single" w:sz="4" w:color="B8C4D3"/>
          <w:insideH w:val="single" w:sz="4" w:color="B8C4D3"/>
          <w:insideV w:val="single" w:sz="4" w:color="B8C4D3"/>
        </w:tblBorders>
      </w:tblPr>
      <w:tblGrid>
        <w:gridCol w:w="5904"/>
        <w:gridCol w:w="1800"/>
        <w:gridCol w:w="1872"/>
      </w:tblGrid>
      <w:tr>
        <w:trPr>
          <w:tblHeader w:val="true"/>
          <w:tblHeader w:val="true"/>
          <w:tblHeader w:val="true"/>
        </w:trPr>
        <w:tc>
          <w:tcPr>
            <w:tcW w:type="dxa" w:w="3389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Indicador</w:t>
            </w:r>
          </w:p>
        </w:tc>
        <w:tc>
          <w:tcPr>
            <w:tcW w:type="dxa" w:w="3389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Frecuencia</w:t>
            </w:r>
          </w:p>
        </w:tc>
        <w:tc>
          <w:tcPr>
            <w:tcW w:type="dxa" w:w="3389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Meta</w:t>
            </w:r>
          </w:p>
        </w:tc>
      </w:tr>
      <w:tr>
        <w:tc>
          <w:tcPr>
            <w:tcW w:type="dxa" w:w="590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Solicitudes registradas oportunamente</w:t>
            </w:r>
          </w:p>
        </w:tc>
        <w:tc>
          <w:tcPr>
            <w:tcW w:type="dxa" w:w="180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Semanal</w:t>
            </w:r>
          </w:p>
        </w:tc>
        <w:tc>
          <w:tcPr>
            <w:tcW w:type="dxa" w:w="1872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100%</w:t>
            </w:r>
          </w:p>
        </w:tc>
      </w:tr>
      <w:tr>
        <w:tc>
          <w:tcPr>
            <w:tcW w:type="dxa" w:w="5904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Comunicaciones con copia a la Junta</w:t>
            </w:r>
          </w:p>
        </w:tc>
        <w:tc>
          <w:tcPr>
            <w:tcW w:type="dxa" w:w="1800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Semanal</w:t>
            </w:r>
          </w:p>
        </w:tc>
        <w:tc>
          <w:tcPr>
            <w:tcW w:type="dxa" w:w="1872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100%</w:t>
            </w:r>
          </w:p>
        </w:tc>
      </w:tr>
      <w:tr>
        <w:tc>
          <w:tcPr>
            <w:tcW w:type="dxa" w:w="590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Informes entregados en la fecha establecida</w:t>
            </w:r>
          </w:p>
        </w:tc>
        <w:tc>
          <w:tcPr>
            <w:tcW w:type="dxa" w:w="1800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Mensual</w:t>
            </w:r>
          </w:p>
        </w:tc>
        <w:tc>
          <w:tcPr>
            <w:tcW w:type="dxa" w:w="1872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100%</w:t>
            </w:r>
          </w:p>
        </w:tc>
      </w:tr>
      <w:tr>
        <w:tc>
          <w:tcPr>
            <w:tcW w:type="dxa" w:w="5904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Pendientes vencidos sin justificación</w:t>
            </w:r>
          </w:p>
        </w:tc>
        <w:tc>
          <w:tcPr>
            <w:tcW w:type="dxa" w:w="1800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 w:val="0"/>
                <w:i w:val="0"/>
                <w:color w:val="1F1F1F"/>
                <w:sz w:val="19"/>
              </w:rPr>
              <w:t>Mensual</w:t>
            </w:r>
          </w:p>
        </w:tc>
        <w:tc>
          <w:tcPr>
            <w:tcW w:type="dxa" w:w="1872"/>
            <w:shd w:fill="F7F9FC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before="0" w:after="30" w:line="240" w:lineRule="auto"/>
            </w:pPr>
            <w:r>
              <w:rPr>
                <w:rFonts w:ascii="Aptos" w:hAnsi="Aptos" w:eastAsia="Aptos"/>
                <w:b/>
                <w:i w:val="0"/>
                <w:color w:val="1F1F1F"/>
                <w:sz w:val="19"/>
              </w:rPr>
              <w:t>0</w:t>
            </w:r>
          </w:p>
        </w:tc>
      </w:tr>
    </w:tbl>
    <w:p>
      <w:pPr>
        <w:spacing w:before="0" w:after="60" w:line="252" w:lineRule="auto"/>
        <w:ind w:left="280" w:hanging="200" w:right="0"/>
      </w:pPr>
      <w:r>
        <w:rPr>
          <w:rFonts w:ascii="Aptos" w:hAnsi="Aptos" w:eastAsia="Aptos"/>
          <w:b w:val="0"/>
          <w:color w:val="1F1F1F"/>
          <w:sz w:val="21"/>
        </w:rPr>
        <w:t xml:space="preserve">✓ </w:t>
      </w:r>
      <w:r>
        <w:rPr>
          <w:rFonts w:ascii="Aptos" w:hAnsi="Aptos" w:eastAsia="Aptos"/>
          <w:b w:val="0"/>
          <w:color w:val="1F1F1F"/>
          <w:sz w:val="21"/>
        </w:rPr>
        <w:t>El procedimiento entra en vigencia a partir de su aprobación por la Junta Directiva. Toda modificación deberá quedar registrada en el control de versiones y comunicarse formalmente a la Auxiliar Administrativa.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B8C4D3"/>
          <w:left w:val="single" w:sz="4" w:color="B8C4D3"/>
          <w:bottom w:val="single" w:sz="4" w:color="B8C4D3"/>
          <w:right w:val="single" w:sz="4" w:color="B8C4D3"/>
          <w:insideH w:val="single" w:sz="4" w:color="B8C4D3"/>
          <w:insideV w:val="single" w:sz="4" w:color="B8C4D3"/>
        </w:tblBorders>
      </w:tblPr>
      <w:tblGrid>
        <w:gridCol w:w="3168"/>
        <w:gridCol w:w="3168"/>
        <w:gridCol w:w="3168"/>
      </w:tblGrid>
      <w:tr>
        <w:tc>
          <w:tcPr>
            <w:tcW w:type="dxa" w:w="3389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ELABORÓ</w:t>
            </w:r>
          </w:p>
        </w:tc>
        <w:tc>
          <w:tcPr>
            <w:tcW w:type="dxa" w:w="3389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REVISÓ</w:t>
            </w:r>
          </w:p>
        </w:tc>
        <w:tc>
          <w:tcPr>
            <w:tcW w:type="dxa" w:w="3389"/>
            <w:shd w:fill="173F7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3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APROBÓ</w:t>
            </w:r>
          </w:p>
        </w:tc>
      </w:tr>
      <w:tr>
        <w:tc>
          <w:tcPr>
            <w:tcW w:type="dxa" w:w="3389"/>
            <w:tcMar>
              <w:top w:w="180" w:type="dxa"/>
              <w:start w:w="100" w:type="dxa"/>
              <w:bottom w:w="120" w:type="dxa"/>
              <w:end w:w="100" w:type="dxa"/>
            </w:tcMar>
          </w:tcPr>
          <w:p>
            <w:pPr>
              <w:spacing w:before="0" w:after="30" w:line="240" w:lineRule="auto"/>
              <w:jc w:val="left"/>
            </w:pPr>
            <w:r>
              <w:rPr>
                <w:rFonts w:ascii="Aptos" w:hAnsi="Aptos" w:eastAsia="Aptos"/>
                <w:color w:val="1F1F1F"/>
                <w:sz w:val="19"/>
              </w:rPr>
            </w:r>
            <w:r>
              <w:rPr>
                <w:rFonts w:ascii="Aptos" w:hAnsi="Aptos" w:eastAsia="Aptos"/>
                <w:b/>
                <w:color w:val="1F1F1F"/>
                <w:sz w:val="19"/>
              </w:rPr>
              <w:t>Nombre: Ángela Valbuena</w:t>
            </w:r>
            <w:r>
              <w:rPr>
                <w:rFonts w:ascii="Aptos" w:hAnsi="Aptos" w:eastAsia="Aptos"/>
                <w:color w:val="1F1F1F"/>
                <w:sz w:val="19"/>
              </w:rPr>
              <w:br/>
              <w:t>Cargo: Vicepresidenta</w:t>
            </w:r>
            <w:r>
              <w:rPr>
                <w:rFonts w:ascii="Aptos" w:hAnsi="Aptos" w:eastAsia="Aptos"/>
                <w:color w:val="1F1F1F"/>
                <w:sz w:val="19"/>
              </w:rPr>
              <w:br/>
              <w:t>Fecha: _____________________</w:t>
            </w:r>
            <w:r>
              <w:rPr>
                <w:rFonts w:ascii="Aptos" w:hAnsi="Aptos" w:eastAsia="Aptos"/>
                <w:color w:val="1F1F1F"/>
                <w:sz w:val="19"/>
              </w:rPr>
              <w:br/>
              <w:t>Firma: _____________________</w:t>
            </w:r>
          </w:p>
        </w:tc>
        <w:tc>
          <w:tcPr>
            <w:tcW w:type="dxa" w:w="3389"/>
            <w:tcMar>
              <w:top w:w="180" w:type="dxa"/>
              <w:start w:w="100" w:type="dxa"/>
              <w:bottom w:w="120" w:type="dxa"/>
              <w:end w:w="100" w:type="dxa"/>
            </w:tcMar>
          </w:tcPr>
          <w:p>
            <w:pPr>
              <w:spacing w:before="0" w:after="30" w:line="240" w:lineRule="auto"/>
              <w:jc w:val="left"/>
            </w:pPr>
            <w:r>
              <w:rPr>
                <w:rFonts w:ascii="Aptos" w:hAnsi="Aptos" w:eastAsia="Aptos"/>
                <w:color w:val="1F1F1F"/>
                <w:sz w:val="19"/>
              </w:rPr>
            </w:r>
            <w:r>
              <w:rPr>
                <w:rFonts w:ascii="Aptos" w:hAnsi="Aptos" w:eastAsia="Aptos"/>
                <w:b/>
                <w:color w:val="1F1F1F"/>
                <w:sz w:val="19"/>
              </w:rPr>
              <w:t>Nombre: Ana María Giraldo</w:t>
            </w:r>
            <w:r>
              <w:rPr>
                <w:rFonts w:ascii="Aptos" w:hAnsi="Aptos" w:eastAsia="Aptos"/>
                <w:color w:val="1F1F1F"/>
                <w:sz w:val="19"/>
              </w:rPr>
              <w:br/>
              <w:t>Cargo: Secretaria</w:t>
            </w:r>
            <w:r>
              <w:rPr>
                <w:rFonts w:ascii="Aptos" w:hAnsi="Aptos" w:eastAsia="Aptos"/>
                <w:color w:val="1F1F1F"/>
                <w:sz w:val="19"/>
              </w:rPr>
              <w:br/>
              <w:t>Fecha: _____________________</w:t>
            </w:r>
            <w:r>
              <w:rPr>
                <w:rFonts w:ascii="Aptos" w:hAnsi="Aptos" w:eastAsia="Aptos"/>
                <w:color w:val="1F1F1F"/>
                <w:sz w:val="19"/>
              </w:rPr>
              <w:br/>
              <w:t>Firma: _____________________</w:t>
            </w:r>
          </w:p>
        </w:tc>
        <w:tc>
          <w:tcPr>
            <w:tcW w:type="dxa" w:w="3389"/>
            <w:tcMar>
              <w:top w:w="180" w:type="dxa"/>
              <w:start w:w="100" w:type="dxa"/>
              <w:bottom w:w="120" w:type="dxa"/>
              <w:end w:w="100" w:type="dxa"/>
            </w:tcMar>
          </w:tcPr>
          <w:p>
            <w:pPr>
              <w:spacing w:before="0" w:after="30" w:line="240" w:lineRule="auto"/>
              <w:jc w:val="left"/>
            </w:pPr>
            <w:r>
              <w:rPr>
                <w:rFonts w:ascii="Aptos" w:hAnsi="Aptos" w:eastAsia="Aptos"/>
                <w:color w:val="1F1F1F"/>
                <w:sz w:val="19"/>
              </w:rPr>
            </w:r>
            <w:r>
              <w:rPr>
                <w:rFonts w:ascii="Aptos" w:hAnsi="Aptos" w:eastAsia="Aptos"/>
                <w:b/>
                <w:color w:val="1F1F1F"/>
                <w:sz w:val="19"/>
              </w:rPr>
              <w:t>Nombre: Felipe Ospina</w:t>
            </w:r>
            <w:r>
              <w:rPr>
                <w:rFonts w:ascii="Aptos" w:hAnsi="Aptos" w:eastAsia="Aptos"/>
                <w:color w:val="1F1F1F"/>
                <w:sz w:val="19"/>
              </w:rPr>
              <w:br/>
              <w:t>Cargo: Presidente</w:t>
            </w:r>
            <w:r>
              <w:rPr>
                <w:rFonts w:ascii="Aptos" w:hAnsi="Aptos" w:eastAsia="Aptos"/>
                <w:color w:val="1F1F1F"/>
                <w:sz w:val="19"/>
              </w:rPr>
              <w:br/>
              <w:t>Fecha: _____________________</w:t>
            </w:r>
            <w:r>
              <w:rPr>
                <w:rFonts w:ascii="Aptos" w:hAnsi="Aptos" w:eastAsia="Aptos"/>
                <w:color w:val="1F1F1F"/>
                <w:sz w:val="19"/>
              </w:rPr>
              <w:br/>
              <w:t>Firma: 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283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b w:val="0"/>
        <w:i w:val="0"/>
        <w:color w:val="666666"/>
        <w:sz w:val="17"/>
      </w:rPr>
      <w:t>ASO-PRC-001  |  Versión 2.0  |  Documento interno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2304"/>
      <w:gridCol w:w="7488"/>
    </w:tblGrid>
    <w:tr>
      <w:tc>
        <w:tcPr>
          <w:tcW w:type="dxa" w:w="4896"/>
          <w:vAlign w:val="center"/>
          <w:tcMar>
            <w:top w:w="50" w:type="dxa"/>
            <w:left w:w="50" w:type="dxa"/>
            <w:bottom w:w="50" w:type="dxa"/>
            <w:right w:w="50" w:type="dxa"/>
          </w:tcMar>
          <w:tcBorders>
            <w:bottom w:val="single" w:sz="8" w:space="0" w:color="BFBFBF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868680" cy="86868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8680" cy="86868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896"/>
          <w:vAlign w:val="center"/>
          <w:tcMar>
            <w:top w:w="50" w:type="dxa"/>
            <w:left w:w="50" w:type="dxa"/>
            <w:bottom w:w="50" w:type="dxa"/>
            <w:right w:w="50" w:type="dxa"/>
          </w:tcMar>
          <w:tcBorders>
            <w:bottom w:val="single" w:sz="8" w:space="0" w:color="BFBFBF"/>
          </w:tcBorders>
        </w:tcPr>
        <w:p>
          <w:pPr>
            <w:jc w:val="right"/>
          </w:pPr>
          <w:r>
            <w:rPr>
              <w:rFonts w:ascii="Aptos" w:hAnsi="Aptos" w:eastAsia="Aptos" w:cs="Aptos"/>
              <w:b/>
              <w:sz w:val="21"/>
            </w:rPr>
            <w:t>ASOPADRES LICEO FRANCÉS DE PEREIRA</w:t>
          </w:r>
        </w:p>
        <w:p>
          <w:pPr>
            <w:jc w:val="right"/>
          </w:pPr>
          <w:r>
            <w:rPr>
              <w:rFonts w:ascii="Aptos" w:hAnsi="Aptos" w:eastAsia="Aptos" w:cs="Aptos"/>
              <w:b w:val="0"/>
              <w:sz w:val="19"/>
            </w:rPr>
            <w:t>Procedimiento de Gestión Administrativa y Comunicaciones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 w:eastAsia="Aptos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ptos" w:hAnsi="Apto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ptos" w:hAnsi="Aptos"/>
      <w:sz w:val="2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